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99B365">
      <w:pPr>
        <w:spacing w:line="600" w:lineRule="exact"/>
        <w:jc w:val="center"/>
        <w:rPr>
          <w:rFonts w:hint="eastAsia" w:ascii="黑体" w:hAnsi="黑体" w:eastAsia="黑体" w:cs="黑体"/>
          <w:b w:val="0"/>
          <w:bCs/>
          <w:color w:val="auto"/>
          <w:sz w:val="44"/>
          <w:szCs w:val="44"/>
        </w:rPr>
      </w:pPr>
      <w:r>
        <w:rPr>
          <w:rFonts w:hint="eastAsia" w:ascii="黑体" w:hAnsi="黑体" w:eastAsia="黑体" w:cs="黑体"/>
          <w:b w:val="0"/>
          <w:bCs/>
          <w:color w:val="auto"/>
          <w:sz w:val="44"/>
          <w:szCs w:val="44"/>
        </w:rPr>
        <w:t>玉山县人民政府关于2023年度国有自然</w:t>
      </w:r>
    </w:p>
    <w:p w14:paraId="65A31680">
      <w:pPr>
        <w:spacing w:line="600" w:lineRule="exact"/>
        <w:jc w:val="center"/>
        <w:rPr>
          <w:rFonts w:hint="eastAsia" w:ascii="黑体" w:hAnsi="黑体" w:eastAsia="黑体" w:cs="黑体"/>
          <w:b w:val="0"/>
          <w:bCs/>
          <w:color w:val="auto"/>
          <w:sz w:val="44"/>
          <w:szCs w:val="44"/>
        </w:rPr>
      </w:pPr>
      <w:r>
        <w:rPr>
          <w:rFonts w:hint="eastAsia" w:ascii="黑体" w:hAnsi="黑体" w:eastAsia="黑体" w:cs="黑体"/>
          <w:b w:val="0"/>
          <w:bCs/>
          <w:color w:val="auto"/>
          <w:sz w:val="44"/>
          <w:szCs w:val="44"/>
        </w:rPr>
        <w:t>资源管理情况专项报告</w:t>
      </w:r>
    </w:p>
    <w:p w14:paraId="79840600">
      <w:pPr>
        <w:pStyle w:val="2"/>
        <w:spacing w:line="360" w:lineRule="auto"/>
        <w:ind w:firstLine="640"/>
        <w:rPr>
          <w:rFonts w:hint="eastAsia" w:ascii="仿宋_GB2312" w:hAnsi="Arial" w:cs="Arial"/>
          <w:bCs/>
          <w:color w:val="auto"/>
          <w:sz w:val="32"/>
          <w:szCs w:val="32"/>
          <w:shd w:val="clear" w:color="auto" w:fill="FFFFFF"/>
        </w:rPr>
      </w:pPr>
    </w:p>
    <w:p w14:paraId="628BF0C3">
      <w:pPr>
        <w:pStyle w:val="5"/>
        <w:spacing w:after="0" w:line="360" w:lineRule="auto"/>
        <w:ind w:firstLine="640" w:firstLineChars="200"/>
        <w:rPr>
          <w:rFonts w:hint="default" w:ascii="Times New Roman" w:hAnsi="Times New Roman" w:eastAsia="仿宋" w:cs="Times New Roman"/>
          <w:b w:val="0"/>
          <w:i w:val="0"/>
          <w:caps w:val="0"/>
          <w:color w:val="auto"/>
          <w:spacing w:val="0"/>
          <w:w w:val="100"/>
          <w:kern w:val="0"/>
          <w:sz w:val="32"/>
          <w:szCs w:val="32"/>
          <w:lang w:val="en-US" w:eastAsia="zh-CN"/>
        </w:rPr>
      </w:pPr>
      <w:r>
        <w:rPr>
          <w:rFonts w:hint="default" w:ascii="Times New Roman" w:hAnsi="Times New Roman" w:eastAsia="仿宋" w:cs="Times New Roman"/>
          <w:b w:val="0"/>
          <w:i w:val="0"/>
          <w:caps w:val="0"/>
          <w:color w:val="auto"/>
          <w:spacing w:val="0"/>
          <w:w w:val="100"/>
          <w:kern w:val="0"/>
          <w:sz w:val="32"/>
          <w:szCs w:val="32"/>
          <w:lang w:val="en-US" w:eastAsia="zh-CN"/>
        </w:rPr>
        <w:t>2023年</w:t>
      </w:r>
      <w:r>
        <w:rPr>
          <w:rFonts w:hint="eastAsia" w:ascii="Times New Roman" w:hAnsi="Times New Roman" w:eastAsia="仿宋" w:cs="Times New Roman"/>
          <w:b w:val="0"/>
          <w:i w:val="0"/>
          <w:caps w:val="0"/>
          <w:color w:val="auto"/>
          <w:spacing w:val="0"/>
          <w:w w:val="100"/>
          <w:kern w:val="0"/>
          <w:sz w:val="32"/>
          <w:szCs w:val="32"/>
          <w:lang w:val="en-US" w:eastAsia="zh-CN"/>
        </w:rPr>
        <w:t>，</w:t>
      </w:r>
      <w:r>
        <w:rPr>
          <w:rFonts w:hint="default" w:ascii="Times New Roman" w:hAnsi="Times New Roman" w:eastAsia="仿宋" w:cs="Times New Roman"/>
          <w:b w:val="0"/>
          <w:i w:val="0"/>
          <w:caps w:val="0"/>
          <w:color w:val="auto"/>
          <w:spacing w:val="0"/>
          <w:w w:val="100"/>
          <w:kern w:val="0"/>
          <w:sz w:val="32"/>
          <w:szCs w:val="32"/>
          <w:lang w:val="en-US" w:eastAsia="zh-CN"/>
        </w:rPr>
        <w:t>县自然资源局在县委、县政府的正确领导下</w:t>
      </w:r>
      <w:r>
        <w:rPr>
          <w:rFonts w:hint="eastAsia" w:ascii="Times New Roman" w:hAnsi="Times New Roman" w:eastAsia="仿宋" w:cs="Times New Roman"/>
          <w:b w:val="0"/>
          <w:i w:val="0"/>
          <w:caps w:val="0"/>
          <w:color w:val="auto"/>
          <w:spacing w:val="0"/>
          <w:w w:val="100"/>
          <w:kern w:val="0"/>
          <w:sz w:val="32"/>
          <w:szCs w:val="32"/>
          <w:lang w:val="en-US" w:eastAsia="zh-CN"/>
        </w:rPr>
        <w:t>，</w:t>
      </w:r>
      <w:r>
        <w:rPr>
          <w:rFonts w:hint="default" w:ascii="Times New Roman" w:hAnsi="Times New Roman" w:eastAsia="仿宋" w:cs="Times New Roman"/>
          <w:b w:val="0"/>
          <w:i w:val="0"/>
          <w:caps w:val="0"/>
          <w:color w:val="auto"/>
          <w:spacing w:val="0"/>
          <w:w w:val="100"/>
          <w:kern w:val="0"/>
          <w:sz w:val="32"/>
          <w:szCs w:val="32"/>
          <w:lang w:val="en-US" w:eastAsia="zh-CN"/>
        </w:rPr>
        <w:t>在县人大的监督指导下</w:t>
      </w:r>
      <w:r>
        <w:rPr>
          <w:rFonts w:hint="eastAsia" w:ascii="Times New Roman" w:hAnsi="Times New Roman" w:eastAsia="仿宋" w:cs="Times New Roman"/>
          <w:b w:val="0"/>
          <w:i w:val="0"/>
          <w:caps w:val="0"/>
          <w:color w:val="auto"/>
          <w:spacing w:val="0"/>
          <w:w w:val="100"/>
          <w:kern w:val="0"/>
          <w:sz w:val="32"/>
          <w:szCs w:val="32"/>
          <w:lang w:val="en-US" w:eastAsia="zh-CN"/>
        </w:rPr>
        <w:t>，</w:t>
      </w:r>
      <w:r>
        <w:rPr>
          <w:rFonts w:hint="default" w:ascii="Times New Roman" w:hAnsi="Times New Roman" w:eastAsia="仿宋" w:cs="Times New Roman"/>
          <w:b w:val="0"/>
          <w:i w:val="0"/>
          <w:caps w:val="0"/>
          <w:color w:val="auto"/>
          <w:spacing w:val="0"/>
          <w:w w:val="100"/>
          <w:kern w:val="0"/>
          <w:sz w:val="32"/>
          <w:szCs w:val="32"/>
          <w:lang w:val="en-US" w:eastAsia="zh-CN"/>
        </w:rPr>
        <w:t>紧紧围绕“两统一”职责，切实履好统一行使全民所有自然资源资产所有者职责和统一行使所有国土空间用途管制和生态保护修复职责</w:t>
      </w:r>
      <w:r>
        <w:rPr>
          <w:rFonts w:hint="eastAsia" w:ascii="Times New Roman" w:hAnsi="Times New Roman" w:eastAsia="仿宋" w:cs="Times New Roman"/>
          <w:b w:val="0"/>
          <w:i w:val="0"/>
          <w:caps w:val="0"/>
          <w:color w:val="auto"/>
          <w:spacing w:val="0"/>
          <w:w w:val="100"/>
          <w:kern w:val="0"/>
          <w:sz w:val="32"/>
          <w:szCs w:val="32"/>
          <w:lang w:val="en-US" w:eastAsia="zh-CN"/>
        </w:rPr>
        <w:t>，</w:t>
      </w:r>
      <w:r>
        <w:rPr>
          <w:rFonts w:hint="default" w:ascii="Times New Roman" w:hAnsi="Times New Roman" w:eastAsia="仿宋" w:cs="Times New Roman"/>
          <w:b w:val="0"/>
          <w:i w:val="0"/>
          <w:caps w:val="0"/>
          <w:color w:val="auto"/>
          <w:spacing w:val="0"/>
          <w:w w:val="100"/>
          <w:kern w:val="0"/>
          <w:sz w:val="32"/>
          <w:szCs w:val="32"/>
          <w:lang w:val="en-US" w:eastAsia="zh-CN"/>
        </w:rPr>
        <w:t>促进全县自然资源的资源、资产的保值、增值。现将我县2023年自然资源管理基本情况汇报如下：</w:t>
      </w:r>
    </w:p>
    <w:p w14:paraId="6F69F871">
      <w:pPr>
        <w:pStyle w:val="2"/>
        <w:spacing w:line="360" w:lineRule="auto"/>
        <w:ind w:firstLine="640"/>
        <w:jc w:val="both"/>
        <w:rPr>
          <w:rFonts w:hint="eastAsia" w:ascii="黑体" w:hAnsi="黑体" w:eastAsia="黑体" w:cs="黑体"/>
          <w:bCs/>
          <w:color w:val="auto"/>
          <w:sz w:val="32"/>
          <w:szCs w:val="32"/>
          <w:shd w:val="clear" w:color="auto" w:fill="FFFFFF"/>
          <w:lang w:val="en-US" w:eastAsia="zh-CN"/>
        </w:rPr>
      </w:pPr>
      <w:r>
        <w:rPr>
          <w:rFonts w:hint="eastAsia" w:ascii="黑体" w:hAnsi="黑体" w:eastAsia="黑体" w:cs="黑体"/>
          <w:bCs/>
          <w:color w:val="auto"/>
          <w:sz w:val="32"/>
          <w:szCs w:val="32"/>
          <w:shd w:val="clear" w:color="auto" w:fill="FFFFFF"/>
          <w:lang w:val="en-US" w:eastAsia="zh-CN"/>
        </w:rPr>
        <w:t>一、工作成效</w:t>
      </w:r>
    </w:p>
    <w:p w14:paraId="55F90820">
      <w:pPr>
        <w:pStyle w:val="5"/>
        <w:spacing w:after="0" w:line="360" w:lineRule="auto"/>
        <w:ind w:left="0" w:leftChars="0" w:firstLine="643" w:firstLineChars="200"/>
        <w:rPr>
          <w:rFonts w:hint="eastAsia" w:ascii="Times New Roman" w:hAnsi="Times New Roman" w:eastAsia="仿宋" w:cs="Times New Roman"/>
          <w:color w:val="auto"/>
          <w:sz w:val="32"/>
          <w:szCs w:val="32"/>
          <w:lang w:val="en-US" w:eastAsia="zh-CN"/>
        </w:rPr>
      </w:pPr>
      <w:r>
        <w:rPr>
          <w:rFonts w:hint="eastAsia" w:ascii="楷体" w:hAnsi="楷体" w:eastAsia="楷体" w:cs="楷体"/>
          <w:b/>
          <w:bCs/>
          <w:i w:val="0"/>
          <w:caps w:val="0"/>
          <w:color w:val="auto"/>
          <w:spacing w:val="0"/>
          <w:w w:val="100"/>
          <w:kern w:val="0"/>
          <w:sz w:val="32"/>
          <w:szCs w:val="32"/>
          <w:lang w:val="en-US" w:eastAsia="zh-CN"/>
        </w:rPr>
        <w:t>土地资源管理方面：</w:t>
      </w:r>
      <w:r>
        <w:rPr>
          <w:rFonts w:hint="eastAsia" w:ascii="Times New Roman" w:hAnsi="Times New Roman" w:eastAsia="仿宋" w:cs="Times New Roman"/>
          <w:b w:val="0"/>
          <w:i w:val="0"/>
          <w:caps w:val="0"/>
          <w:color w:val="auto"/>
          <w:spacing w:val="0"/>
          <w:w w:val="100"/>
          <w:kern w:val="0"/>
          <w:sz w:val="32"/>
          <w:szCs w:val="32"/>
          <w:lang w:val="en-US" w:eastAsia="zh-CN" w:bidi="ar-SA"/>
        </w:rPr>
        <w:t>2023年底，玉山县全域国土调查总面积1732.33平方公里，其中：现状建设用地167.31平方公里，农用地1541.49平方公里，未利用地23.53平方公里，公园、公共绿地、河流等生态型用地共</w:t>
      </w:r>
      <w:r>
        <w:rPr>
          <w:rFonts w:hint="default" w:ascii="Times New Roman" w:hAnsi="Times New Roman" w:eastAsia="仿宋" w:cs="Times New Roman"/>
          <w:b w:val="0"/>
          <w:i w:val="0"/>
          <w:caps w:val="0"/>
          <w:color w:val="auto"/>
          <w:spacing w:val="0"/>
          <w:w w:val="100"/>
          <w:kern w:val="0"/>
          <w:sz w:val="32"/>
          <w:szCs w:val="32"/>
          <w:lang w:val="en-US" w:eastAsia="zh-CN" w:bidi="ar-SA"/>
        </w:rPr>
        <w:t>17</w:t>
      </w:r>
      <w:r>
        <w:rPr>
          <w:rFonts w:hint="eastAsia" w:ascii="Times New Roman" w:hAnsi="Times New Roman" w:eastAsia="仿宋" w:cs="Times New Roman"/>
          <w:b w:val="0"/>
          <w:i w:val="0"/>
          <w:caps w:val="0"/>
          <w:color w:val="auto"/>
          <w:spacing w:val="0"/>
          <w:w w:val="100"/>
          <w:kern w:val="0"/>
          <w:sz w:val="32"/>
          <w:szCs w:val="32"/>
          <w:lang w:val="en-US" w:eastAsia="zh-CN" w:bidi="ar-SA"/>
        </w:rPr>
        <w:t>.</w:t>
      </w:r>
      <w:r>
        <w:rPr>
          <w:rFonts w:hint="default" w:ascii="Times New Roman" w:hAnsi="Times New Roman" w:eastAsia="仿宋" w:cs="Times New Roman"/>
          <w:b w:val="0"/>
          <w:i w:val="0"/>
          <w:caps w:val="0"/>
          <w:color w:val="auto"/>
          <w:spacing w:val="0"/>
          <w:w w:val="100"/>
          <w:kern w:val="0"/>
          <w:sz w:val="32"/>
          <w:szCs w:val="32"/>
          <w:lang w:val="en-US" w:eastAsia="zh-CN" w:bidi="ar-SA"/>
        </w:rPr>
        <w:t>01</w:t>
      </w:r>
      <w:r>
        <w:rPr>
          <w:rFonts w:hint="eastAsia" w:ascii="Times New Roman" w:hAnsi="Times New Roman" w:eastAsia="仿宋" w:cs="Times New Roman"/>
          <w:b w:val="0"/>
          <w:i w:val="0"/>
          <w:caps w:val="0"/>
          <w:color w:val="auto"/>
          <w:spacing w:val="0"/>
          <w:w w:val="100"/>
          <w:kern w:val="0"/>
          <w:sz w:val="32"/>
          <w:szCs w:val="32"/>
          <w:lang w:val="en-US" w:eastAsia="zh-CN" w:bidi="ar-SA"/>
        </w:rPr>
        <w:t>平方公里。</w:t>
      </w:r>
      <w:r>
        <w:rPr>
          <w:rFonts w:hint="eastAsia" w:ascii="Times New Roman" w:hAnsi="Times New Roman" w:eastAsia="仿宋" w:cs="Times New Roman"/>
          <w:b w:val="0"/>
          <w:i w:val="0"/>
          <w:caps w:val="0"/>
          <w:color w:val="auto"/>
          <w:spacing w:val="0"/>
          <w:w w:val="100"/>
          <w:kern w:val="0"/>
          <w:sz w:val="32"/>
          <w:szCs w:val="32"/>
          <w:lang w:val="en-US" w:eastAsia="zh-CN"/>
        </w:rPr>
        <w:t>玉山县国土空间总体规划“三区三线”划定永久基本农田212.13平方公里、生态保护红线450.486平方公里、城镇开发边界 51.64平方公里。</w:t>
      </w:r>
      <w:r>
        <w:rPr>
          <w:rFonts w:hint="eastAsia" w:eastAsia="仿宋" w:cs="Times New Roman"/>
          <w:b w:val="0"/>
          <w:i w:val="0"/>
          <w:caps w:val="0"/>
          <w:color w:val="auto"/>
          <w:spacing w:val="0"/>
          <w:w w:val="100"/>
          <w:kern w:val="0"/>
          <w:sz w:val="32"/>
          <w:szCs w:val="32"/>
          <w:lang w:val="en-US" w:eastAsia="zh-CN"/>
        </w:rPr>
        <w:t>市级下达</w:t>
      </w:r>
      <w:r>
        <w:rPr>
          <w:rFonts w:hint="eastAsia" w:ascii="Times New Roman" w:hAnsi="Times New Roman" w:eastAsia="仿宋" w:cs="Times New Roman"/>
          <w:b w:val="0"/>
          <w:i w:val="0"/>
          <w:caps w:val="0"/>
          <w:color w:val="auto"/>
          <w:spacing w:val="0"/>
          <w:w w:val="100"/>
          <w:kern w:val="0"/>
          <w:sz w:val="32"/>
          <w:szCs w:val="32"/>
          <w:lang w:val="en-US" w:eastAsia="zh-CN"/>
        </w:rPr>
        <w:t>我县耕地保有量任务36.02万亩，其中永久基本农田保护任务31.82万亩。截至2023年底，全县耕地保有量36.16万亩，超保护任务1400亩；实有永久基本农田保护面积31.89万亩，超保护任务700亩。2023年耕地保护和粮食安全首次考核中，获得耕地保护工作良好等次。2023年，报批新增建设用地</w:t>
      </w:r>
      <w:r>
        <w:rPr>
          <w:rFonts w:hint="eastAsia" w:eastAsia="仿宋" w:cs="Times New Roman"/>
          <w:b w:val="0"/>
          <w:i w:val="0"/>
          <w:caps w:val="0"/>
          <w:color w:val="auto"/>
          <w:spacing w:val="0"/>
          <w:w w:val="100"/>
          <w:kern w:val="0"/>
          <w:sz w:val="32"/>
          <w:szCs w:val="32"/>
          <w:lang w:val="en-US" w:eastAsia="zh-CN"/>
        </w:rPr>
        <w:t>689亩</w:t>
      </w:r>
      <w:r>
        <w:rPr>
          <w:rFonts w:hint="eastAsia" w:ascii="Times New Roman" w:hAnsi="Times New Roman" w:eastAsia="仿宋" w:cs="Times New Roman"/>
          <w:b w:val="0"/>
          <w:i w:val="0"/>
          <w:caps w:val="0"/>
          <w:color w:val="auto"/>
          <w:spacing w:val="0"/>
          <w:w w:val="100"/>
          <w:kern w:val="0"/>
          <w:sz w:val="32"/>
          <w:szCs w:val="32"/>
          <w:lang w:val="en-US" w:eastAsia="zh-CN"/>
        </w:rPr>
        <w:t>，其中：转国有土地的</w:t>
      </w:r>
      <w:r>
        <w:rPr>
          <w:rFonts w:hint="eastAsia" w:eastAsia="仿宋" w:cs="Times New Roman"/>
          <w:b w:val="0"/>
          <w:i w:val="0"/>
          <w:caps w:val="0"/>
          <w:color w:val="auto"/>
          <w:spacing w:val="0"/>
          <w:w w:val="100"/>
          <w:kern w:val="0"/>
          <w:sz w:val="32"/>
          <w:szCs w:val="32"/>
          <w:lang w:val="en-US" w:eastAsia="zh-CN"/>
        </w:rPr>
        <w:t>623亩</w:t>
      </w:r>
      <w:r>
        <w:rPr>
          <w:rFonts w:hint="eastAsia" w:ascii="Times New Roman" w:hAnsi="Times New Roman" w:eastAsia="仿宋" w:cs="Times New Roman"/>
          <w:b w:val="0"/>
          <w:i w:val="0"/>
          <w:caps w:val="0"/>
          <w:color w:val="auto"/>
          <w:spacing w:val="0"/>
          <w:w w:val="100"/>
          <w:kern w:val="0"/>
          <w:sz w:val="32"/>
          <w:szCs w:val="32"/>
          <w:lang w:val="en-US" w:eastAsia="zh-CN"/>
        </w:rPr>
        <w:t>，集体土地</w:t>
      </w:r>
      <w:r>
        <w:rPr>
          <w:rFonts w:hint="eastAsia" w:eastAsia="仿宋" w:cs="Times New Roman"/>
          <w:b w:val="0"/>
          <w:i w:val="0"/>
          <w:caps w:val="0"/>
          <w:color w:val="auto"/>
          <w:spacing w:val="0"/>
          <w:w w:val="100"/>
          <w:kern w:val="0"/>
          <w:sz w:val="32"/>
          <w:szCs w:val="32"/>
          <w:lang w:val="en-US" w:eastAsia="zh-CN"/>
        </w:rPr>
        <w:t>66亩</w:t>
      </w:r>
      <w:r>
        <w:rPr>
          <w:rFonts w:hint="eastAsia" w:ascii="Times New Roman" w:hAnsi="Times New Roman" w:eastAsia="仿宋" w:cs="Times New Roman"/>
          <w:b w:val="0"/>
          <w:i w:val="0"/>
          <w:caps w:val="0"/>
          <w:color w:val="auto"/>
          <w:spacing w:val="0"/>
          <w:w w:val="100"/>
          <w:kern w:val="0"/>
          <w:sz w:val="32"/>
          <w:szCs w:val="32"/>
          <w:lang w:val="en-US" w:eastAsia="zh-CN"/>
        </w:rPr>
        <w:t>；征收土地</w:t>
      </w:r>
      <w:r>
        <w:rPr>
          <w:rFonts w:hint="eastAsia" w:eastAsia="仿宋" w:cs="Times New Roman"/>
          <w:b w:val="0"/>
          <w:i w:val="0"/>
          <w:caps w:val="0"/>
          <w:color w:val="auto"/>
          <w:spacing w:val="0"/>
          <w:w w:val="100"/>
          <w:kern w:val="0"/>
          <w:sz w:val="32"/>
          <w:szCs w:val="32"/>
          <w:lang w:val="en-US" w:eastAsia="zh-CN"/>
        </w:rPr>
        <w:t>792亩</w:t>
      </w:r>
      <w:r>
        <w:rPr>
          <w:rFonts w:hint="eastAsia" w:ascii="Times New Roman" w:hAnsi="Times New Roman" w:eastAsia="仿宋" w:cs="Times New Roman"/>
          <w:b w:val="0"/>
          <w:i w:val="0"/>
          <w:caps w:val="0"/>
          <w:color w:val="auto"/>
          <w:spacing w:val="0"/>
          <w:w w:val="100"/>
          <w:kern w:val="0"/>
          <w:sz w:val="32"/>
          <w:szCs w:val="32"/>
          <w:lang w:val="en-US" w:eastAsia="zh-CN"/>
        </w:rPr>
        <w:t>。</w:t>
      </w:r>
      <w:r>
        <w:rPr>
          <w:rFonts w:hint="default" w:ascii="Times New Roman" w:hAnsi="Times New Roman" w:eastAsia="仿宋" w:cs="Times New Roman"/>
          <w:color w:val="auto"/>
          <w:sz w:val="32"/>
          <w:szCs w:val="32"/>
        </w:rPr>
        <w:t>划拨国有</w:t>
      </w:r>
      <w:r>
        <w:rPr>
          <w:rFonts w:hint="default" w:ascii="Times New Roman" w:hAnsi="Times New Roman" w:eastAsia="仿宋" w:cs="Times New Roman"/>
          <w:color w:val="auto"/>
          <w:sz w:val="32"/>
          <w:szCs w:val="32"/>
          <w:lang w:val="en-US" w:eastAsia="zh-CN"/>
        </w:rPr>
        <w:t>土地使用权40宗，面积570.11亩</w:t>
      </w:r>
      <w:r>
        <w:rPr>
          <w:rFonts w:hint="eastAsia" w:ascii="Times New Roman" w:hAnsi="Times New Roman" w:eastAsia="仿宋" w:cs="Times New Roman"/>
          <w:color w:val="auto"/>
          <w:sz w:val="32"/>
          <w:szCs w:val="32"/>
          <w:lang w:val="en-US" w:eastAsia="zh-CN"/>
        </w:rPr>
        <w:t>；</w:t>
      </w:r>
      <w:r>
        <w:rPr>
          <w:rFonts w:hint="default" w:ascii="Times New Roman" w:hAnsi="Times New Roman" w:eastAsia="仿宋" w:cs="Times New Roman"/>
          <w:color w:val="auto"/>
          <w:sz w:val="32"/>
          <w:szCs w:val="32"/>
          <w:lang w:val="en-US" w:eastAsia="zh-CN"/>
        </w:rPr>
        <w:t>拍卖出让供应国有土地土地使用权23宗，总面积1082.7亩，总出让金额9</w:t>
      </w:r>
      <w:r>
        <w:rPr>
          <w:rFonts w:hint="eastAsia" w:ascii="Times New Roman" w:hAnsi="Times New Roman" w:eastAsia="仿宋" w:cs="Times New Roman"/>
          <w:color w:val="auto"/>
          <w:sz w:val="32"/>
          <w:szCs w:val="32"/>
          <w:lang w:val="en-US" w:eastAsia="zh-CN"/>
        </w:rPr>
        <w:t>.</w:t>
      </w:r>
      <w:r>
        <w:rPr>
          <w:rFonts w:hint="default" w:ascii="Times New Roman" w:hAnsi="Times New Roman" w:eastAsia="仿宋" w:cs="Times New Roman"/>
          <w:color w:val="auto"/>
          <w:sz w:val="32"/>
          <w:szCs w:val="32"/>
          <w:lang w:val="en-US" w:eastAsia="zh-CN"/>
        </w:rPr>
        <w:t>9</w:t>
      </w:r>
      <w:r>
        <w:rPr>
          <w:rFonts w:hint="eastAsia" w:ascii="Times New Roman" w:hAnsi="Times New Roman" w:eastAsia="仿宋" w:cs="Times New Roman"/>
          <w:color w:val="auto"/>
          <w:sz w:val="32"/>
          <w:szCs w:val="32"/>
          <w:lang w:val="en-US" w:eastAsia="zh-CN"/>
        </w:rPr>
        <w:t>亿</w:t>
      </w:r>
      <w:r>
        <w:rPr>
          <w:rFonts w:hint="default" w:ascii="Times New Roman" w:hAnsi="Times New Roman" w:eastAsia="仿宋" w:cs="Times New Roman"/>
          <w:color w:val="auto"/>
          <w:sz w:val="32"/>
          <w:szCs w:val="32"/>
          <w:lang w:val="en-US" w:eastAsia="zh-CN"/>
        </w:rPr>
        <w:t>元。</w:t>
      </w:r>
      <w:r>
        <w:rPr>
          <w:rFonts w:hint="eastAsia" w:ascii="Times New Roman" w:hAnsi="Times New Roman" w:eastAsia="仿宋" w:cs="Times New Roman"/>
          <w:color w:val="auto"/>
          <w:sz w:val="32"/>
          <w:szCs w:val="32"/>
          <w:lang w:val="en-US" w:eastAsia="zh-CN"/>
        </w:rPr>
        <w:t>2023年末收储土地面积为197亩，账面价值约为1.04亿元。2023年消化</w:t>
      </w:r>
      <w:r>
        <w:rPr>
          <w:rFonts w:hint="default" w:ascii="Times New Roman" w:hAnsi="Times New Roman" w:eastAsia="仿宋" w:cs="Times New Roman"/>
          <w:color w:val="auto"/>
          <w:sz w:val="32"/>
          <w:szCs w:val="32"/>
          <w:lang w:val="en-US" w:eastAsia="zh-CN"/>
        </w:rPr>
        <w:t>批而未用</w:t>
      </w:r>
      <w:r>
        <w:rPr>
          <w:rFonts w:hint="eastAsia" w:ascii="Times New Roman" w:hAnsi="Times New Roman" w:eastAsia="仿宋" w:cs="Times New Roman"/>
          <w:color w:val="auto"/>
          <w:sz w:val="32"/>
          <w:szCs w:val="32"/>
          <w:lang w:val="en-US" w:eastAsia="zh-CN"/>
        </w:rPr>
        <w:t>土地</w:t>
      </w:r>
      <w:r>
        <w:rPr>
          <w:rFonts w:hint="default" w:ascii="Times New Roman" w:hAnsi="Times New Roman" w:eastAsia="仿宋" w:cs="Times New Roman"/>
          <w:color w:val="auto"/>
          <w:sz w:val="32"/>
          <w:szCs w:val="32"/>
          <w:lang w:val="en-US" w:eastAsia="zh-CN"/>
        </w:rPr>
        <w:t>1779亩</w:t>
      </w:r>
      <w:r>
        <w:rPr>
          <w:rFonts w:hint="eastAsia" w:ascii="Times New Roman" w:hAnsi="Times New Roman" w:eastAsia="仿宋" w:cs="Times New Roman"/>
          <w:color w:val="auto"/>
          <w:sz w:val="32"/>
          <w:szCs w:val="32"/>
          <w:lang w:val="en-US" w:eastAsia="zh-CN"/>
        </w:rPr>
        <w:t>，消化</w:t>
      </w:r>
      <w:r>
        <w:rPr>
          <w:rFonts w:hint="default" w:ascii="Times New Roman" w:hAnsi="Times New Roman" w:eastAsia="仿宋" w:cs="Times New Roman"/>
          <w:color w:val="auto"/>
          <w:sz w:val="32"/>
          <w:szCs w:val="32"/>
          <w:lang w:val="en-US" w:eastAsia="zh-CN"/>
        </w:rPr>
        <w:t>批而未供</w:t>
      </w:r>
      <w:r>
        <w:rPr>
          <w:rFonts w:hint="eastAsia" w:ascii="Times New Roman" w:hAnsi="Times New Roman" w:eastAsia="仿宋" w:cs="Times New Roman"/>
          <w:color w:val="auto"/>
          <w:sz w:val="32"/>
          <w:szCs w:val="32"/>
          <w:lang w:val="en-US" w:eastAsia="zh-CN"/>
        </w:rPr>
        <w:t>土地</w:t>
      </w:r>
      <w:r>
        <w:rPr>
          <w:rFonts w:hint="default" w:ascii="Times New Roman" w:hAnsi="Times New Roman" w:eastAsia="仿宋" w:cs="Times New Roman"/>
          <w:color w:val="auto"/>
          <w:sz w:val="32"/>
          <w:szCs w:val="32"/>
          <w:lang w:val="en-US" w:eastAsia="zh-CN"/>
        </w:rPr>
        <w:t>1767亩</w:t>
      </w:r>
      <w:r>
        <w:rPr>
          <w:rFonts w:hint="eastAsia" w:ascii="Times New Roman" w:hAnsi="Times New Roman" w:eastAsia="仿宋" w:cs="Times New Roman"/>
          <w:color w:val="auto"/>
          <w:sz w:val="32"/>
          <w:szCs w:val="32"/>
          <w:lang w:val="en-US" w:eastAsia="zh-CN"/>
        </w:rPr>
        <w:t>，处置</w:t>
      </w:r>
      <w:r>
        <w:rPr>
          <w:rFonts w:hint="default" w:ascii="Times New Roman" w:hAnsi="Times New Roman" w:eastAsia="仿宋" w:cs="Times New Roman"/>
          <w:color w:val="auto"/>
          <w:sz w:val="32"/>
          <w:szCs w:val="32"/>
          <w:lang w:val="en-US" w:eastAsia="zh-CN"/>
        </w:rPr>
        <w:t>闲置土地651.7亩</w:t>
      </w:r>
      <w:r>
        <w:rPr>
          <w:rFonts w:hint="eastAsia" w:ascii="Times New Roman" w:hAnsi="Times New Roman" w:eastAsia="仿宋" w:cs="Times New Roman"/>
          <w:color w:val="auto"/>
          <w:sz w:val="32"/>
          <w:szCs w:val="32"/>
          <w:lang w:val="en-US" w:eastAsia="zh-CN"/>
        </w:rPr>
        <w:t>，节约集约指标考核全省二类县排名第一。</w:t>
      </w:r>
      <w:r>
        <w:rPr>
          <w:rFonts w:hint="default" w:ascii="Times New Roman" w:hAnsi="Times New Roman" w:eastAsia="仿宋" w:cs="Times New Roman"/>
          <w:color w:val="auto"/>
          <w:sz w:val="32"/>
          <w:szCs w:val="32"/>
          <w:lang w:val="en-US" w:eastAsia="zh-CN"/>
        </w:rPr>
        <w:t>开展执法巡查</w:t>
      </w:r>
      <w:r>
        <w:rPr>
          <w:rFonts w:hint="default" w:ascii="Times New Roman" w:hAnsi="Times New Roman" w:eastAsia="仿宋" w:cs="Times New Roman"/>
          <w:color w:val="auto"/>
          <w:kern w:val="0"/>
          <w:sz w:val="32"/>
          <w:szCs w:val="32"/>
          <w:lang w:val="en-US" w:eastAsia="zh-CN"/>
        </w:rPr>
        <w:t>160</w:t>
      </w:r>
      <w:r>
        <w:rPr>
          <w:rFonts w:hint="default" w:ascii="Times New Roman" w:hAnsi="Times New Roman" w:eastAsia="仿宋" w:cs="Times New Roman"/>
          <w:color w:val="auto"/>
          <w:sz w:val="32"/>
          <w:szCs w:val="32"/>
          <w:lang w:val="en-US" w:eastAsia="zh-CN"/>
        </w:rPr>
        <w:t>余次，发现制止各类自然资源违法行为</w:t>
      </w:r>
      <w:r>
        <w:rPr>
          <w:rFonts w:hint="default" w:ascii="Times New Roman" w:hAnsi="Times New Roman" w:eastAsia="仿宋" w:cs="Times New Roman"/>
          <w:color w:val="auto"/>
          <w:kern w:val="0"/>
          <w:sz w:val="32"/>
          <w:szCs w:val="32"/>
          <w:lang w:val="en-US" w:eastAsia="zh-CN"/>
        </w:rPr>
        <w:t>118</w:t>
      </w:r>
      <w:r>
        <w:rPr>
          <w:rFonts w:hint="default" w:ascii="Times New Roman" w:hAnsi="Times New Roman" w:eastAsia="仿宋" w:cs="Times New Roman"/>
          <w:color w:val="auto"/>
          <w:sz w:val="32"/>
          <w:szCs w:val="32"/>
          <w:lang w:val="en-US" w:eastAsia="zh-CN"/>
        </w:rPr>
        <w:t>起，立案查处自然资源违法案件</w:t>
      </w:r>
      <w:r>
        <w:rPr>
          <w:rFonts w:hint="default" w:ascii="Times New Roman" w:hAnsi="Times New Roman" w:eastAsia="仿宋" w:cs="Times New Roman"/>
          <w:color w:val="auto"/>
          <w:kern w:val="0"/>
          <w:sz w:val="32"/>
          <w:szCs w:val="32"/>
          <w:lang w:val="en-US" w:eastAsia="zh-CN"/>
        </w:rPr>
        <w:t>20</w:t>
      </w:r>
      <w:r>
        <w:rPr>
          <w:rFonts w:hint="default" w:ascii="Times New Roman" w:hAnsi="Times New Roman" w:eastAsia="仿宋" w:cs="Times New Roman"/>
          <w:color w:val="auto"/>
          <w:sz w:val="32"/>
          <w:szCs w:val="32"/>
          <w:lang w:val="en-US" w:eastAsia="zh-CN"/>
        </w:rPr>
        <w:t>起，拆除非法占地建筑物5起，收缴罚没款</w:t>
      </w:r>
      <w:r>
        <w:rPr>
          <w:rFonts w:hint="default" w:ascii="Times New Roman" w:hAnsi="Times New Roman" w:eastAsia="仿宋" w:cs="Times New Roman"/>
          <w:color w:val="auto"/>
          <w:kern w:val="0"/>
          <w:sz w:val="32"/>
          <w:szCs w:val="32"/>
          <w:lang w:val="en-US" w:eastAsia="zh-CN"/>
        </w:rPr>
        <w:t>114.6</w:t>
      </w:r>
      <w:r>
        <w:rPr>
          <w:rFonts w:hint="default" w:ascii="Times New Roman" w:hAnsi="Times New Roman" w:eastAsia="仿宋" w:cs="Times New Roman"/>
          <w:color w:val="auto"/>
          <w:sz w:val="32"/>
          <w:szCs w:val="32"/>
          <w:lang w:val="en-US" w:eastAsia="zh-CN"/>
        </w:rPr>
        <w:t>万元。在全市率先建成使用视频监控体系，自动预警395次，执法监察人员巡查次数同比下降50%，各类违法行为同比下降90%。</w:t>
      </w:r>
    </w:p>
    <w:p w14:paraId="2045A128">
      <w:pPr>
        <w:pStyle w:val="5"/>
        <w:spacing w:after="0" w:line="360" w:lineRule="auto"/>
        <w:ind w:firstLine="643" w:firstLineChars="200"/>
        <w:rPr>
          <w:rFonts w:hint="default" w:ascii="Times New Roman" w:hAnsi="Times New Roman" w:eastAsia="仿宋" w:cs="Times New Roman"/>
          <w:b w:val="0"/>
          <w:i w:val="0"/>
          <w:caps w:val="0"/>
          <w:color w:val="auto"/>
          <w:spacing w:val="0"/>
          <w:w w:val="100"/>
          <w:kern w:val="0"/>
          <w:sz w:val="32"/>
          <w:szCs w:val="32"/>
          <w:lang w:val="en-US" w:eastAsia="zh-CN"/>
        </w:rPr>
      </w:pPr>
      <w:r>
        <w:rPr>
          <w:rFonts w:hint="eastAsia" w:ascii="楷体" w:hAnsi="楷体" w:eastAsia="楷体" w:cs="楷体"/>
          <w:b/>
          <w:bCs/>
          <w:i w:val="0"/>
          <w:caps w:val="0"/>
          <w:color w:val="auto"/>
          <w:spacing w:val="0"/>
          <w:w w:val="100"/>
          <w:kern w:val="0"/>
          <w:sz w:val="32"/>
          <w:szCs w:val="32"/>
          <w:lang w:val="en-US" w:eastAsia="zh-CN"/>
        </w:rPr>
        <w:t>矿产资源管理方面：</w:t>
      </w:r>
      <w:r>
        <w:rPr>
          <w:rFonts w:hint="eastAsia" w:ascii="Times New Roman" w:hAnsi="Times New Roman" w:eastAsia="仿宋" w:cs="Times New Roman"/>
          <w:b w:val="0"/>
          <w:i w:val="0"/>
          <w:caps w:val="0"/>
          <w:color w:val="auto"/>
          <w:spacing w:val="0"/>
          <w:w w:val="100"/>
          <w:kern w:val="0"/>
          <w:sz w:val="32"/>
          <w:szCs w:val="32"/>
          <w:lang w:val="en-US" w:eastAsia="zh-CN"/>
        </w:rPr>
        <w:t>截止2023年底，已发现矿产29种，查明资源储量的矿种24种，发现矿产地66处，优势矿种有石灰石、萤石、饰面用板岩、饰面用大理岩等。全县共有探矿权27个，采矿权37个，在有效期内采矿权28个，其它9个采矿权在有效期内提交了延续申请，未办理采矿延续登记手续。2023年出让玉山县南山乡岩坞建筑用灰岩矿采矿权，矿权收益0.5亿元。</w:t>
      </w:r>
      <w:r>
        <w:rPr>
          <w:rFonts w:hint="default" w:ascii="Times New Roman" w:hAnsi="Times New Roman" w:eastAsia="仿宋" w:cs="Times New Roman"/>
          <w:color w:val="auto"/>
          <w:sz w:val="32"/>
          <w:szCs w:val="32"/>
          <w:lang w:val="en-US" w:eastAsia="zh-CN"/>
        </w:rPr>
        <w:t>严格落实持证矿山“边开采、边治理”，对全县26个持证矿山进行联合检查，督促矿山企业按“三合一”方案履行环境恢复治理义务并按规范计提、使用、管理生态修复基金。</w:t>
      </w:r>
      <w:r>
        <w:rPr>
          <w:rFonts w:hint="eastAsia" w:ascii="Times New Roman" w:hAnsi="Times New Roman" w:eastAsia="仿宋" w:cs="Times New Roman"/>
          <w:b w:val="0"/>
          <w:i w:val="0"/>
          <w:caps w:val="0"/>
          <w:color w:val="auto"/>
          <w:spacing w:val="0"/>
          <w:w w:val="100"/>
          <w:kern w:val="0"/>
          <w:sz w:val="32"/>
          <w:szCs w:val="32"/>
          <w:lang w:val="en-US" w:eastAsia="zh-CN"/>
        </w:rPr>
        <w:t>大力推进废弃矿山恢复治理，完成22个废弃矿山生态修复，面积</w:t>
      </w:r>
      <w:r>
        <w:rPr>
          <w:rFonts w:hint="eastAsia" w:eastAsia="仿宋" w:cs="Times New Roman"/>
          <w:color w:val="auto"/>
          <w:sz w:val="32"/>
          <w:szCs w:val="32"/>
          <w:lang w:val="en-US" w:eastAsia="zh-CN"/>
        </w:rPr>
        <w:t>750</w:t>
      </w:r>
      <w:r>
        <w:rPr>
          <w:rFonts w:hint="default" w:ascii="Times New Roman" w:hAnsi="Times New Roman" w:eastAsia="仿宋" w:cs="Times New Roman"/>
          <w:color w:val="auto"/>
          <w:sz w:val="32"/>
          <w:szCs w:val="32"/>
          <w:lang w:val="en-US" w:eastAsia="zh-CN"/>
        </w:rPr>
        <w:t>亩</w:t>
      </w:r>
      <w:r>
        <w:rPr>
          <w:rFonts w:hint="eastAsia" w:ascii="Times New Roman" w:hAnsi="Times New Roman" w:eastAsia="仿宋" w:cs="Times New Roman"/>
          <w:b w:val="0"/>
          <w:i w:val="0"/>
          <w:caps w:val="0"/>
          <w:color w:val="auto"/>
          <w:spacing w:val="0"/>
          <w:w w:val="100"/>
          <w:kern w:val="0"/>
          <w:sz w:val="32"/>
          <w:szCs w:val="32"/>
          <w:lang w:val="en-US" w:eastAsia="zh-CN"/>
        </w:rPr>
        <w:t>。</w:t>
      </w:r>
    </w:p>
    <w:p w14:paraId="05373F31">
      <w:pPr>
        <w:numPr>
          <w:ilvl w:val="0"/>
          <w:numId w:val="0"/>
        </w:numPr>
        <w:ind w:firstLine="643" w:firstLineChars="200"/>
        <w:rPr>
          <w:rFonts w:hint="default" w:ascii="Times New Roman" w:hAnsi="Times New Roman" w:eastAsia="仿宋" w:cs="Times New Roman"/>
          <w:color w:val="auto"/>
          <w:kern w:val="2"/>
          <w:sz w:val="32"/>
          <w:szCs w:val="32"/>
          <w:lang w:val="en-US" w:eastAsia="zh-CN" w:bidi="ar-SA"/>
        </w:rPr>
      </w:pPr>
      <w:r>
        <w:rPr>
          <w:rFonts w:hint="eastAsia" w:ascii="楷体" w:hAnsi="楷体" w:eastAsia="楷体" w:cs="楷体"/>
          <w:b/>
          <w:bCs/>
          <w:i w:val="0"/>
          <w:caps w:val="0"/>
          <w:color w:val="auto"/>
          <w:spacing w:val="0"/>
          <w:w w:val="100"/>
          <w:kern w:val="0"/>
          <w:sz w:val="32"/>
          <w:szCs w:val="32"/>
          <w:lang w:val="en-US" w:eastAsia="zh-CN" w:bidi="ar-SA"/>
        </w:rPr>
        <w:t>林地资源管理方面：</w:t>
      </w:r>
      <w:r>
        <w:rPr>
          <w:rFonts w:hint="eastAsia" w:ascii="Times New Roman" w:hAnsi="Times New Roman" w:eastAsia="仿宋" w:cs="Times New Roman"/>
          <w:color w:val="auto"/>
          <w:kern w:val="2"/>
          <w:sz w:val="32"/>
          <w:szCs w:val="32"/>
          <w:lang w:val="en-US" w:eastAsia="zh-CN" w:bidi="ar-SA"/>
        </w:rPr>
        <w:t>我县现有林地面积155.08万亩，其中乔木林地面积123.7万亩，竹林地面积6.6万亩，灌木林地面积22万亩，疏林地面积0.47万亩，未成林地、苗圃地、宜林地等其他林地面积2.31万亩，活立木总蓄积475.6万立方米，乔木林每公顷蓄积54.5立方米，森林覆盖率66.12%，林木绿化率68.71%。全县设有怀玉山国家森林公园（含怀玉山景区、武安山景区、天梁景区）、江西三清山信江源国家湿地公园、江西玉山信江源省级自然保护区等3个保护区。近年来，我县积极推进国土绿化建设，年平均人工新造林面积约5000亩，造林地块来源主要是采伐迹地、火烧迹地更新及废弃矿山生态修复等。市林业下达我县林地征占用限额12公顷，主要用于县内重点项目或民生项目、基础建设项目。近年来，我县年平均使用林地约1000亩，除市下达用地限额外，其余为省、市重点项目建设。“十四五”期间，省政府下达我县年森林采伐限额为立木蓄积34912立方米，实际年采伐量平均在20000立方米以内。</w:t>
      </w:r>
    </w:p>
    <w:p w14:paraId="173E836B">
      <w:pPr>
        <w:numPr>
          <w:ilvl w:val="0"/>
          <w:numId w:val="0"/>
        </w:numPr>
        <w:ind w:firstLine="643" w:firstLineChars="200"/>
        <w:rPr>
          <w:rFonts w:hint="eastAsia" w:ascii="Times New Roman" w:hAnsi="Times New Roman" w:eastAsia="仿宋" w:cs="Times New Roman"/>
          <w:color w:val="auto"/>
          <w:kern w:val="2"/>
          <w:sz w:val="32"/>
          <w:szCs w:val="32"/>
          <w:lang w:val="en-US" w:eastAsia="zh-CN" w:bidi="ar-SA"/>
        </w:rPr>
      </w:pPr>
      <w:r>
        <w:rPr>
          <w:rFonts w:hint="eastAsia" w:ascii="楷体" w:hAnsi="楷体" w:eastAsia="楷体" w:cs="楷体"/>
          <w:b/>
          <w:bCs/>
          <w:i w:val="0"/>
          <w:caps w:val="0"/>
          <w:color w:val="auto"/>
          <w:spacing w:val="0"/>
          <w:w w:val="100"/>
          <w:kern w:val="0"/>
          <w:sz w:val="32"/>
          <w:szCs w:val="32"/>
          <w:lang w:val="en-US" w:eastAsia="zh-CN" w:bidi="ar-SA"/>
        </w:rPr>
        <w:t>农垦土地管理方面：</w:t>
      </w:r>
      <w:r>
        <w:rPr>
          <w:rFonts w:hint="eastAsia" w:ascii="Times New Roman" w:hAnsi="Times New Roman" w:eastAsia="仿宋" w:cs="Times New Roman"/>
          <w:color w:val="auto"/>
          <w:kern w:val="2"/>
          <w:sz w:val="32"/>
          <w:szCs w:val="32"/>
          <w:lang w:val="en-US" w:eastAsia="zh-CN" w:bidi="ar-SA"/>
        </w:rPr>
        <w:t>我县农垦国有土地为原大垄垦殖场、怀玉山垦殖场、农科所、良种场、种猪场等所属土地。按照农垦场改制方案，原农垦场资产、土地、成员等均划入所属乡镇，垦殖场职工身份改变成农民。原农垦场改制后的土地所属乡镇均按照集体用地进行管理，土地划分给原垦殖场职工作为责任承包用地。按照省委省政府（赣发（2016）23号）和玉山县人民政府办公室（玉府办字（2017）115号）文件精神，2018年对我县原农垦场按照“房地一体”原则进行不动产登记。涉及岩瑞镇大垄村、五里洋村、金溪村、万花村、太平村，怀玉乡玉峰村、洋塘村、金坪村、陇首村、农林场，紫湖镇川桥村、大举村，三管委八仙洞村，冰溪街道舒家棚社区（原牛奶场部分），文成街道洪家村（原农科所部分），黑猪原种场，原县鱼种场，原长毛兔场。登记方法按照大区块进行，未涉及原农垦场职工所承包土地的性质。全县农垦国有土地确权调查面积为6.21万亩，其中大垄垦殖场1.31万亩、怀玉山垦殖场4.9万亩；颁证5.83万亩，其中大垄垦殖场1.33万亩、怀玉山垦殖场4.93万亩。农垦国有土地不动产证于2019年4月全部移交给农垦集团，由农垦集团负责管理运行。</w:t>
      </w:r>
    </w:p>
    <w:p w14:paraId="48519BF6">
      <w:pPr>
        <w:numPr>
          <w:ilvl w:val="0"/>
          <w:numId w:val="0"/>
        </w:numPr>
        <w:ind w:firstLine="643" w:firstLineChars="200"/>
        <w:rPr>
          <w:rFonts w:hint="default" w:ascii="Times New Roman" w:hAnsi="Times New Roman" w:eastAsia="仿宋" w:cs="Times New Roman"/>
          <w:color w:val="auto"/>
          <w:kern w:val="2"/>
          <w:sz w:val="32"/>
          <w:szCs w:val="32"/>
          <w:lang w:val="en-US" w:eastAsia="zh-CN" w:bidi="ar-SA"/>
        </w:rPr>
      </w:pPr>
      <w:r>
        <w:rPr>
          <w:rFonts w:hint="eastAsia" w:ascii="楷体" w:hAnsi="楷体" w:eastAsia="楷体" w:cs="楷体"/>
          <w:b/>
          <w:bCs/>
          <w:i w:val="0"/>
          <w:caps w:val="0"/>
          <w:color w:val="auto"/>
          <w:spacing w:val="0"/>
          <w:w w:val="100"/>
          <w:kern w:val="0"/>
          <w:sz w:val="32"/>
          <w:szCs w:val="32"/>
          <w:lang w:val="en-US" w:eastAsia="zh-CN" w:bidi="ar-SA"/>
        </w:rPr>
        <w:t>水资源管理方面：</w:t>
      </w:r>
      <w:r>
        <w:rPr>
          <w:rFonts w:hint="eastAsia" w:ascii="Times New Roman" w:hAnsi="Times New Roman" w:eastAsia="仿宋" w:cs="Times New Roman"/>
          <w:color w:val="auto"/>
          <w:kern w:val="2"/>
          <w:sz w:val="32"/>
          <w:szCs w:val="32"/>
          <w:lang w:val="en-US" w:eastAsia="zh-CN" w:bidi="ar-SA"/>
        </w:rPr>
        <w:t>2023年，玉山县降水量1805.1毫米，折合降水总量312711万立方米。比上年减少13.9%，与多年平均值相比减少3.6%，属于平水年份。地表水资源量191378万立方米，折合年径流深1104.7毫米，比上年减少22.8%,比多年平均减少9.5%，人均水资源量为3765立方米。地表水控制利用率10.8%。地下水资源量42905万立方米。</w:t>
      </w:r>
      <w:r>
        <w:rPr>
          <w:rFonts w:hint="default" w:ascii="Times New Roman" w:hAnsi="Times New Roman" w:eastAsia="仿宋" w:cs="Times New Roman"/>
          <w:color w:val="auto"/>
          <w:kern w:val="2"/>
          <w:sz w:val="32"/>
          <w:szCs w:val="32"/>
          <w:lang w:val="en-US" w:eastAsia="zh-CN" w:bidi="ar-SA"/>
        </w:rPr>
        <w:t>2023年，玉山县入</w:t>
      </w:r>
      <w:r>
        <w:rPr>
          <w:rFonts w:hint="eastAsia" w:ascii="Times New Roman" w:hAnsi="Times New Roman" w:eastAsia="仿宋" w:cs="Times New Roman"/>
          <w:color w:val="auto"/>
          <w:kern w:val="2"/>
          <w:sz w:val="32"/>
          <w:szCs w:val="32"/>
          <w:lang w:val="en-US" w:eastAsia="zh-CN" w:bidi="ar-SA"/>
        </w:rPr>
        <w:t>（</w:t>
      </w:r>
      <w:r>
        <w:rPr>
          <w:rFonts w:hint="default" w:ascii="Times New Roman" w:hAnsi="Times New Roman" w:eastAsia="仿宋" w:cs="Times New Roman"/>
          <w:color w:val="auto"/>
          <w:kern w:val="2"/>
          <w:sz w:val="32"/>
          <w:szCs w:val="32"/>
          <w:lang w:val="en-US" w:eastAsia="zh-CN" w:bidi="ar-SA"/>
        </w:rPr>
        <w:t>县</w:t>
      </w:r>
      <w:r>
        <w:rPr>
          <w:rFonts w:hint="eastAsia" w:ascii="Times New Roman" w:hAnsi="Times New Roman" w:eastAsia="仿宋" w:cs="Times New Roman"/>
          <w:color w:val="auto"/>
          <w:kern w:val="2"/>
          <w:sz w:val="32"/>
          <w:szCs w:val="32"/>
          <w:lang w:val="en-US" w:eastAsia="zh-CN" w:bidi="ar-SA"/>
        </w:rPr>
        <w:t>）</w:t>
      </w:r>
      <w:r>
        <w:rPr>
          <w:rFonts w:hint="default" w:ascii="Times New Roman" w:hAnsi="Times New Roman" w:eastAsia="仿宋" w:cs="Times New Roman"/>
          <w:color w:val="auto"/>
          <w:kern w:val="2"/>
          <w:sz w:val="32"/>
          <w:szCs w:val="32"/>
          <w:lang w:val="en-US" w:eastAsia="zh-CN" w:bidi="ar-SA"/>
        </w:rPr>
        <w:t>境水量76207万立方米，出</w:t>
      </w:r>
      <w:r>
        <w:rPr>
          <w:rFonts w:hint="eastAsia" w:ascii="Times New Roman" w:hAnsi="Times New Roman" w:eastAsia="仿宋" w:cs="Times New Roman"/>
          <w:color w:val="auto"/>
          <w:kern w:val="2"/>
          <w:sz w:val="32"/>
          <w:szCs w:val="32"/>
          <w:lang w:val="en-US" w:eastAsia="zh-CN" w:bidi="ar-SA"/>
        </w:rPr>
        <w:t>（</w:t>
      </w:r>
      <w:r>
        <w:rPr>
          <w:rFonts w:hint="default" w:ascii="Times New Roman" w:hAnsi="Times New Roman" w:eastAsia="仿宋" w:cs="Times New Roman"/>
          <w:color w:val="auto"/>
          <w:kern w:val="2"/>
          <w:sz w:val="32"/>
          <w:szCs w:val="32"/>
          <w:lang w:val="en-US" w:eastAsia="zh-CN" w:bidi="ar-SA"/>
        </w:rPr>
        <w:t>县</w:t>
      </w:r>
      <w:r>
        <w:rPr>
          <w:rFonts w:hint="eastAsia" w:ascii="Times New Roman" w:hAnsi="Times New Roman" w:eastAsia="仿宋" w:cs="Times New Roman"/>
          <w:color w:val="auto"/>
          <w:kern w:val="2"/>
          <w:sz w:val="32"/>
          <w:szCs w:val="32"/>
          <w:lang w:val="en-US" w:eastAsia="zh-CN" w:bidi="ar-SA"/>
        </w:rPr>
        <w:t>）</w:t>
      </w:r>
      <w:r>
        <w:rPr>
          <w:rFonts w:hint="default" w:ascii="Times New Roman" w:hAnsi="Times New Roman" w:eastAsia="仿宋" w:cs="Times New Roman"/>
          <w:color w:val="auto"/>
          <w:kern w:val="2"/>
          <w:sz w:val="32"/>
          <w:szCs w:val="32"/>
          <w:lang w:val="en-US" w:eastAsia="zh-CN" w:bidi="ar-SA"/>
        </w:rPr>
        <w:t>境水量254064万立方米。</w:t>
      </w:r>
      <w:r>
        <w:rPr>
          <w:rFonts w:hint="eastAsia" w:ascii="Times New Roman" w:hAnsi="Times New Roman" w:eastAsia="仿宋" w:cs="Times New Roman"/>
          <w:color w:val="auto"/>
          <w:kern w:val="2"/>
          <w:sz w:val="32"/>
          <w:szCs w:val="32"/>
          <w:lang w:val="en-US" w:eastAsia="zh-CN" w:bidi="ar-SA"/>
        </w:rPr>
        <w:t>现</w:t>
      </w:r>
      <w:r>
        <w:rPr>
          <w:rFonts w:hint="default" w:ascii="Times New Roman" w:hAnsi="Times New Roman" w:eastAsia="仿宋" w:cs="Times New Roman"/>
          <w:color w:val="auto"/>
          <w:kern w:val="2"/>
          <w:sz w:val="32"/>
          <w:szCs w:val="32"/>
          <w:lang w:val="en-US" w:eastAsia="zh-CN" w:bidi="ar-SA"/>
        </w:rPr>
        <w:t>有大型水库1座，中型水库2座。大型水库年末蓄水总量11100万立方米，年初蓄水量8840万立方米，蓄水量增加2260万立方米；中型水库年末蓄水量1846万立方米，年初蓄水量1459万立方米，蓄水量增加387万立方米。</w:t>
      </w:r>
      <w:r>
        <w:rPr>
          <w:rFonts w:hint="eastAsia" w:ascii="Times New Roman" w:hAnsi="Times New Roman" w:eastAsia="仿宋" w:cs="Times New Roman"/>
          <w:color w:val="auto"/>
          <w:kern w:val="2"/>
          <w:sz w:val="32"/>
          <w:szCs w:val="32"/>
          <w:lang w:val="en-US" w:eastAsia="zh-CN" w:bidi="ar-SA"/>
        </w:rPr>
        <w:t>全年</w:t>
      </w:r>
      <w:r>
        <w:rPr>
          <w:rFonts w:hint="default" w:ascii="Times New Roman" w:hAnsi="Times New Roman" w:eastAsia="仿宋" w:cs="Times New Roman"/>
          <w:color w:val="auto"/>
          <w:kern w:val="2"/>
          <w:sz w:val="32"/>
          <w:szCs w:val="32"/>
          <w:lang w:val="en-US" w:eastAsia="zh-CN" w:bidi="ar-SA"/>
        </w:rPr>
        <w:t>总供水量23120万立方米。其中地表水源供水量22766万立方米，占98.5%</w:t>
      </w:r>
      <w:r>
        <w:rPr>
          <w:rFonts w:hint="eastAsia" w:ascii="Times New Roman" w:hAnsi="Times New Roman" w:eastAsia="仿宋" w:cs="Times New Roman"/>
          <w:color w:val="auto"/>
          <w:kern w:val="2"/>
          <w:sz w:val="32"/>
          <w:szCs w:val="32"/>
          <w:lang w:val="en-US" w:eastAsia="zh-CN" w:bidi="ar-SA"/>
        </w:rPr>
        <w:t>，</w:t>
      </w:r>
      <w:r>
        <w:rPr>
          <w:rFonts w:hint="default" w:ascii="Times New Roman" w:hAnsi="Times New Roman" w:eastAsia="仿宋" w:cs="Times New Roman"/>
          <w:color w:val="auto"/>
          <w:kern w:val="2"/>
          <w:sz w:val="32"/>
          <w:szCs w:val="32"/>
          <w:lang w:val="en-US" w:eastAsia="zh-CN" w:bidi="ar-SA"/>
        </w:rPr>
        <w:t>地下水源供水量264万立方米，占1.1%。其他水源供水量</w:t>
      </w:r>
      <w:r>
        <w:rPr>
          <w:rFonts w:hint="eastAsia" w:ascii="Times New Roman" w:hAnsi="Times New Roman" w:eastAsia="仿宋" w:cs="Times New Roman"/>
          <w:color w:val="auto"/>
          <w:kern w:val="2"/>
          <w:sz w:val="32"/>
          <w:szCs w:val="32"/>
          <w:lang w:val="en-US" w:eastAsia="zh-CN" w:bidi="ar-SA"/>
        </w:rPr>
        <w:t>（</w:t>
      </w:r>
      <w:r>
        <w:rPr>
          <w:rFonts w:hint="default" w:ascii="Times New Roman" w:hAnsi="Times New Roman" w:eastAsia="仿宋" w:cs="Times New Roman"/>
          <w:color w:val="auto"/>
          <w:kern w:val="2"/>
          <w:sz w:val="32"/>
          <w:szCs w:val="32"/>
          <w:lang w:val="en-US" w:eastAsia="zh-CN" w:bidi="ar-SA"/>
        </w:rPr>
        <w:t>污水处理回用</w:t>
      </w:r>
      <w:r>
        <w:rPr>
          <w:rFonts w:hint="eastAsia" w:ascii="Times New Roman" w:hAnsi="Times New Roman" w:eastAsia="仿宋" w:cs="Times New Roman"/>
          <w:color w:val="auto"/>
          <w:kern w:val="2"/>
          <w:sz w:val="32"/>
          <w:szCs w:val="32"/>
          <w:lang w:val="en-US" w:eastAsia="zh-CN" w:bidi="ar-SA"/>
        </w:rPr>
        <w:t>）</w:t>
      </w:r>
      <w:r>
        <w:rPr>
          <w:rFonts w:hint="default" w:ascii="Times New Roman" w:hAnsi="Times New Roman" w:eastAsia="仿宋" w:cs="Times New Roman"/>
          <w:color w:val="auto"/>
          <w:kern w:val="2"/>
          <w:sz w:val="32"/>
          <w:szCs w:val="32"/>
          <w:lang w:val="en-US" w:eastAsia="zh-CN" w:bidi="ar-SA"/>
        </w:rPr>
        <w:t>90万立方米，占0.4%。</w:t>
      </w:r>
      <w:r>
        <w:rPr>
          <w:rFonts w:hint="eastAsia" w:ascii="Times New Roman" w:hAnsi="Times New Roman" w:eastAsia="仿宋" w:cs="Times New Roman"/>
          <w:color w:val="auto"/>
          <w:kern w:val="2"/>
          <w:sz w:val="32"/>
          <w:szCs w:val="32"/>
          <w:lang w:val="en-US" w:eastAsia="zh-CN" w:bidi="ar-SA"/>
        </w:rPr>
        <w:t>全年</w:t>
      </w:r>
      <w:r>
        <w:rPr>
          <w:rFonts w:hint="default" w:ascii="Times New Roman" w:hAnsi="Times New Roman" w:eastAsia="仿宋" w:cs="Times New Roman"/>
          <w:color w:val="auto"/>
          <w:kern w:val="2"/>
          <w:sz w:val="32"/>
          <w:szCs w:val="32"/>
          <w:lang w:val="en-US" w:eastAsia="zh-CN" w:bidi="ar-SA"/>
        </w:rPr>
        <w:t>用水总量为23120万立方米。其中农业灌溉用水量19042万立方米</w:t>
      </w:r>
      <w:r>
        <w:rPr>
          <w:rFonts w:hint="eastAsia" w:ascii="Times New Roman" w:hAnsi="Times New Roman" w:eastAsia="仿宋" w:cs="Times New Roman"/>
          <w:color w:val="auto"/>
          <w:kern w:val="2"/>
          <w:sz w:val="32"/>
          <w:szCs w:val="32"/>
          <w:lang w:val="en-US" w:eastAsia="zh-CN" w:bidi="ar-SA"/>
        </w:rPr>
        <w:t>（</w:t>
      </w:r>
      <w:r>
        <w:rPr>
          <w:rFonts w:hint="default" w:ascii="Times New Roman" w:hAnsi="Times New Roman" w:eastAsia="仿宋" w:cs="Times New Roman"/>
          <w:color w:val="auto"/>
          <w:kern w:val="2"/>
          <w:sz w:val="32"/>
          <w:szCs w:val="32"/>
          <w:lang w:val="en-US" w:eastAsia="zh-CN" w:bidi="ar-SA"/>
        </w:rPr>
        <w:t>其中农田灌溉18560万立方米，林牧渔畜482万立方米</w:t>
      </w:r>
      <w:r>
        <w:rPr>
          <w:rFonts w:hint="eastAsia" w:ascii="Times New Roman" w:hAnsi="Times New Roman" w:eastAsia="仿宋" w:cs="Times New Roman"/>
          <w:color w:val="auto"/>
          <w:kern w:val="2"/>
          <w:sz w:val="32"/>
          <w:szCs w:val="32"/>
          <w:lang w:val="en-US" w:eastAsia="zh-CN" w:bidi="ar-SA"/>
        </w:rPr>
        <w:t>），</w:t>
      </w:r>
      <w:r>
        <w:rPr>
          <w:rFonts w:hint="default" w:ascii="Times New Roman" w:hAnsi="Times New Roman" w:eastAsia="仿宋" w:cs="Times New Roman"/>
          <w:color w:val="auto"/>
          <w:kern w:val="2"/>
          <w:sz w:val="32"/>
          <w:szCs w:val="32"/>
          <w:lang w:val="en-US" w:eastAsia="zh-CN" w:bidi="ar-SA"/>
        </w:rPr>
        <w:t>占用水总量的82.4%</w:t>
      </w:r>
      <w:r>
        <w:rPr>
          <w:rFonts w:hint="eastAsia" w:ascii="Times New Roman" w:hAnsi="Times New Roman" w:eastAsia="仿宋" w:cs="Times New Roman"/>
          <w:color w:val="auto"/>
          <w:kern w:val="2"/>
          <w:sz w:val="32"/>
          <w:szCs w:val="32"/>
          <w:lang w:val="en-US" w:eastAsia="zh-CN" w:bidi="ar-SA"/>
        </w:rPr>
        <w:t>；</w:t>
      </w:r>
      <w:r>
        <w:rPr>
          <w:rFonts w:hint="default" w:ascii="Times New Roman" w:hAnsi="Times New Roman" w:eastAsia="仿宋" w:cs="Times New Roman"/>
          <w:color w:val="auto"/>
          <w:kern w:val="2"/>
          <w:sz w:val="32"/>
          <w:szCs w:val="32"/>
          <w:lang w:val="en-US" w:eastAsia="zh-CN" w:bidi="ar-SA"/>
        </w:rPr>
        <w:t>工业用水量777万立方米，占用水总量的3.4%</w:t>
      </w:r>
      <w:r>
        <w:rPr>
          <w:rFonts w:hint="eastAsia" w:ascii="Times New Roman" w:hAnsi="Times New Roman" w:eastAsia="仿宋" w:cs="Times New Roman"/>
          <w:color w:val="auto"/>
          <w:kern w:val="2"/>
          <w:sz w:val="32"/>
          <w:szCs w:val="32"/>
          <w:lang w:val="en-US" w:eastAsia="zh-CN" w:bidi="ar-SA"/>
        </w:rPr>
        <w:t>；</w:t>
      </w:r>
      <w:r>
        <w:rPr>
          <w:rFonts w:hint="default" w:ascii="Times New Roman" w:hAnsi="Times New Roman" w:eastAsia="仿宋" w:cs="Times New Roman"/>
          <w:color w:val="auto"/>
          <w:kern w:val="2"/>
          <w:sz w:val="32"/>
          <w:szCs w:val="32"/>
          <w:lang w:val="en-US" w:eastAsia="zh-CN" w:bidi="ar-SA"/>
        </w:rPr>
        <w:t>城镇公共用水量495万立方米，占用水总量的2.1%</w:t>
      </w:r>
      <w:r>
        <w:rPr>
          <w:rFonts w:hint="eastAsia" w:ascii="Times New Roman" w:hAnsi="Times New Roman" w:eastAsia="仿宋" w:cs="Times New Roman"/>
          <w:color w:val="auto"/>
          <w:kern w:val="2"/>
          <w:sz w:val="32"/>
          <w:szCs w:val="32"/>
          <w:lang w:val="en-US" w:eastAsia="zh-CN" w:bidi="ar-SA"/>
        </w:rPr>
        <w:t>；</w:t>
      </w:r>
      <w:r>
        <w:rPr>
          <w:rFonts w:hint="default" w:ascii="Times New Roman" w:hAnsi="Times New Roman" w:eastAsia="仿宋" w:cs="Times New Roman"/>
          <w:color w:val="auto"/>
          <w:kern w:val="2"/>
          <w:sz w:val="32"/>
          <w:szCs w:val="32"/>
          <w:lang w:val="en-US" w:eastAsia="zh-CN" w:bidi="ar-SA"/>
        </w:rPr>
        <w:t>居民生活用水量2506万立方米，</w:t>
      </w:r>
      <w:r>
        <w:rPr>
          <w:rFonts w:hint="eastAsia" w:ascii="Times New Roman" w:hAnsi="Times New Roman" w:eastAsia="仿宋" w:cs="Times New Roman"/>
          <w:color w:val="auto"/>
          <w:kern w:val="2"/>
          <w:sz w:val="32"/>
          <w:szCs w:val="32"/>
          <w:lang w:val="en-US" w:eastAsia="zh-CN" w:bidi="ar-SA"/>
        </w:rPr>
        <w:t>占</w:t>
      </w:r>
      <w:r>
        <w:rPr>
          <w:rFonts w:hint="default" w:ascii="Times New Roman" w:hAnsi="Times New Roman" w:eastAsia="仿宋" w:cs="Times New Roman"/>
          <w:color w:val="auto"/>
          <w:kern w:val="2"/>
          <w:sz w:val="32"/>
          <w:szCs w:val="32"/>
          <w:lang w:val="en-US" w:eastAsia="zh-CN" w:bidi="ar-SA"/>
        </w:rPr>
        <w:t>用水总量的10.8%</w:t>
      </w:r>
      <w:r>
        <w:rPr>
          <w:rFonts w:hint="eastAsia" w:ascii="Times New Roman" w:hAnsi="Times New Roman" w:eastAsia="仿宋" w:cs="Times New Roman"/>
          <w:color w:val="auto"/>
          <w:kern w:val="2"/>
          <w:sz w:val="32"/>
          <w:szCs w:val="32"/>
          <w:lang w:val="en-US" w:eastAsia="zh-CN" w:bidi="ar-SA"/>
        </w:rPr>
        <w:t>；</w:t>
      </w:r>
      <w:r>
        <w:rPr>
          <w:rFonts w:hint="default" w:ascii="Times New Roman" w:hAnsi="Times New Roman" w:eastAsia="仿宋" w:cs="Times New Roman"/>
          <w:color w:val="auto"/>
          <w:kern w:val="2"/>
          <w:sz w:val="32"/>
          <w:szCs w:val="32"/>
          <w:lang w:val="en-US" w:eastAsia="zh-CN" w:bidi="ar-SA"/>
        </w:rPr>
        <w:t>生态环境用水300万立方米，占用水总量的1.3%。</w:t>
      </w:r>
      <w:r>
        <w:rPr>
          <w:rFonts w:hint="eastAsia" w:ascii="Times New Roman" w:hAnsi="Times New Roman" w:eastAsia="仿宋" w:cs="Times New Roman"/>
          <w:color w:val="auto"/>
          <w:kern w:val="2"/>
          <w:sz w:val="32"/>
          <w:szCs w:val="32"/>
          <w:lang w:val="en-US" w:eastAsia="zh-CN" w:bidi="ar-SA"/>
        </w:rPr>
        <w:t>全年</w:t>
      </w:r>
      <w:r>
        <w:rPr>
          <w:rFonts w:hint="default" w:ascii="Times New Roman" w:hAnsi="Times New Roman" w:eastAsia="仿宋" w:cs="Times New Roman"/>
          <w:color w:val="auto"/>
          <w:kern w:val="2"/>
          <w:sz w:val="32"/>
          <w:szCs w:val="32"/>
          <w:lang w:val="en-US" w:eastAsia="zh-CN" w:bidi="ar-SA"/>
        </w:rPr>
        <w:t>用水消耗量为11847万立方米，综合耗水率51.2%。根据水利厅最严格水资源管理制度相关要求各项指标均达标。</w:t>
      </w:r>
    </w:p>
    <w:p w14:paraId="02BCE6D9">
      <w:pPr>
        <w:numPr>
          <w:ilvl w:val="0"/>
          <w:numId w:val="0"/>
        </w:numPr>
        <w:ind w:firstLine="640" w:firstLineChars="200"/>
        <w:rPr>
          <w:rFonts w:hint="eastAsia" w:ascii="黑体" w:hAnsi="黑体" w:eastAsia="黑体" w:cs="黑体"/>
          <w:color w:val="auto"/>
          <w:kern w:val="2"/>
          <w:sz w:val="32"/>
          <w:szCs w:val="32"/>
          <w:lang w:val="en-US" w:eastAsia="zh-CN" w:bidi="ar-SA"/>
        </w:rPr>
      </w:pPr>
      <w:r>
        <w:rPr>
          <w:rFonts w:hint="eastAsia" w:ascii="黑体" w:hAnsi="黑体" w:eastAsia="黑体" w:cs="黑体"/>
          <w:color w:val="auto"/>
          <w:kern w:val="2"/>
          <w:sz w:val="32"/>
          <w:szCs w:val="32"/>
          <w:lang w:val="en-US" w:eastAsia="zh-CN" w:bidi="ar-SA"/>
        </w:rPr>
        <w:t>二、存在的问题</w:t>
      </w:r>
    </w:p>
    <w:p w14:paraId="6D36BDD8">
      <w:pPr>
        <w:keepNext w:val="0"/>
        <w:keepLines w:val="0"/>
        <w:widowControl/>
        <w:suppressLineNumbers w:val="0"/>
        <w:ind w:firstLine="643" w:firstLineChars="200"/>
        <w:jc w:val="left"/>
        <w:rPr>
          <w:rFonts w:hint="default" w:ascii="Times New Roman" w:hAnsi="Times New Roman" w:eastAsia="仿宋" w:cs="Times New Roman"/>
          <w:color w:val="auto"/>
          <w:kern w:val="2"/>
          <w:sz w:val="32"/>
          <w:szCs w:val="32"/>
          <w:lang w:val="en-US" w:eastAsia="zh-CN" w:bidi="ar-SA"/>
        </w:rPr>
      </w:pPr>
      <w:r>
        <w:rPr>
          <w:rFonts w:hint="eastAsia" w:ascii="楷体" w:hAnsi="楷体" w:eastAsia="楷体" w:cs="楷体"/>
          <w:b/>
          <w:bCs/>
          <w:color w:val="auto"/>
          <w:kern w:val="2"/>
          <w:sz w:val="32"/>
          <w:szCs w:val="32"/>
          <w:lang w:val="en-US" w:eastAsia="zh-CN" w:bidi="ar-SA"/>
        </w:rPr>
        <w:t>土地资源管理方面：一是</w:t>
      </w:r>
      <w:r>
        <w:rPr>
          <w:rFonts w:hint="eastAsia" w:ascii="Times New Roman" w:hAnsi="Times New Roman" w:eastAsia="仿宋" w:cs="Times New Roman"/>
          <w:color w:val="auto"/>
          <w:kern w:val="2"/>
          <w:sz w:val="32"/>
          <w:szCs w:val="32"/>
          <w:lang w:val="en-US" w:eastAsia="zh-CN" w:bidi="ar-SA"/>
        </w:rPr>
        <w:t>耕地保护形势严峻。耕地资源长期紧缺，优质耕地更加稀缺；耕地后备资源紧缺，补充耕地数量锐减；耕地保护意识淡薄，违法占用耕地递增；农村劳动力不足，耕地撂荒现象严重；经济发展势头强劲，占用耕地建设频繁；耕保责任落实不到位，管理手段还不够健全。</w:t>
      </w:r>
      <w:r>
        <w:rPr>
          <w:rFonts w:hint="eastAsia" w:ascii="楷体" w:hAnsi="楷体" w:eastAsia="楷体" w:cs="楷体"/>
          <w:b/>
          <w:bCs/>
          <w:color w:val="auto"/>
          <w:kern w:val="2"/>
          <w:sz w:val="32"/>
          <w:szCs w:val="32"/>
          <w:lang w:val="en-US" w:eastAsia="zh-CN" w:bidi="ar-SA"/>
        </w:rPr>
        <w:t>二是</w:t>
      </w:r>
      <w:r>
        <w:rPr>
          <w:rFonts w:hint="eastAsia" w:ascii="Times New Roman" w:hAnsi="Times New Roman" w:eastAsia="仿宋" w:cs="Times New Roman"/>
          <w:color w:val="auto"/>
          <w:kern w:val="2"/>
          <w:sz w:val="32"/>
          <w:szCs w:val="32"/>
          <w:lang w:val="en-US" w:eastAsia="zh-CN" w:bidi="ar-SA"/>
        </w:rPr>
        <w:t>土地节约集约利用程度不高。规划管控作用滞后，引导性约束力不强；项目引进考虑不充分，招商门槛不高、项目质量不优；基础设施建设匹配性差，土地资源浪费严重；传统供地机制不完善，土地批后监管不到位。</w:t>
      </w:r>
      <w:r>
        <w:rPr>
          <w:rFonts w:hint="eastAsia" w:ascii="楷体" w:hAnsi="楷体" w:eastAsia="楷体" w:cs="楷体"/>
          <w:b/>
          <w:bCs/>
          <w:color w:val="auto"/>
          <w:kern w:val="2"/>
          <w:sz w:val="32"/>
          <w:szCs w:val="32"/>
          <w:lang w:val="en-US" w:eastAsia="zh-CN" w:bidi="ar-SA"/>
        </w:rPr>
        <w:t>三是</w:t>
      </w:r>
      <w:r>
        <w:rPr>
          <w:rFonts w:hint="eastAsia" w:ascii="Times New Roman" w:hAnsi="Times New Roman" w:eastAsia="仿宋" w:cs="Times New Roman"/>
          <w:color w:val="auto"/>
          <w:kern w:val="2"/>
          <w:sz w:val="32"/>
          <w:szCs w:val="32"/>
          <w:lang w:val="en-US" w:eastAsia="zh-CN" w:bidi="ar-SA"/>
        </w:rPr>
        <w:t>自然资源违法行为易发多发。小微违法难发现，呈现“小、散、乱”的特点；执法监察力量欠缺，动态巡查不到位；执法监察“宽松软”，铁心硬手“去存量、遏增量”乏力。</w:t>
      </w:r>
    </w:p>
    <w:p w14:paraId="59FD2A64">
      <w:pPr>
        <w:spacing w:line="600" w:lineRule="exact"/>
        <w:ind w:firstLine="643" w:firstLineChars="200"/>
        <w:rPr>
          <w:rFonts w:hint="eastAsia" w:ascii="仿宋" w:hAnsi="仿宋" w:eastAsia="仿宋" w:cs="仿宋"/>
          <w:color w:val="auto"/>
          <w:sz w:val="32"/>
          <w:szCs w:val="32"/>
          <w:lang w:val="en-US" w:eastAsia="zh-CN"/>
        </w:rPr>
      </w:pPr>
      <w:r>
        <w:rPr>
          <w:rFonts w:hint="eastAsia" w:ascii="楷体" w:hAnsi="楷体" w:eastAsia="楷体" w:cs="楷体"/>
          <w:b/>
          <w:bCs/>
          <w:color w:val="auto"/>
          <w:kern w:val="2"/>
          <w:sz w:val="32"/>
          <w:szCs w:val="32"/>
          <w:lang w:val="en-US" w:eastAsia="zh-CN" w:bidi="ar-SA"/>
        </w:rPr>
        <w:t>矿产资源管理方面：一是</w:t>
      </w:r>
      <w:r>
        <w:rPr>
          <w:rFonts w:hint="eastAsia" w:ascii="Times New Roman" w:hAnsi="Times New Roman" w:eastAsia="仿宋" w:cs="Times New Roman"/>
          <w:color w:val="auto"/>
          <w:sz w:val="32"/>
          <w:szCs w:val="32"/>
          <w:lang w:val="en-US" w:eastAsia="zh-CN"/>
        </w:rPr>
        <w:t>受国际国内政策、市场、环境保护等因素影响，矿业市场低迷；</w:t>
      </w:r>
      <w:r>
        <w:rPr>
          <w:rFonts w:hint="eastAsia" w:ascii="楷体" w:hAnsi="楷体" w:eastAsia="楷体" w:cs="楷体"/>
          <w:b/>
          <w:bCs/>
          <w:color w:val="auto"/>
          <w:kern w:val="2"/>
          <w:sz w:val="32"/>
          <w:szCs w:val="32"/>
          <w:lang w:val="en-US" w:eastAsia="zh-CN" w:bidi="ar-SA"/>
        </w:rPr>
        <w:t>二是</w:t>
      </w:r>
      <w:r>
        <w:rPr>
          <w:rFonts w:hint="eastAsia" w:ascii="Times New Roman" w:hAnsi="Times New Roman" w:eastAsia="仿宋" w:cs="Times New Roman"/>
          <w:color w:val="auto"/>
          <w:sz w:val="32"/>
          <w:szCs w:val="32"/>
          <w:lang w:val="en-US" w:eastAsia="zh-CN"/>
        </w:rPr>
        <w:t>矿山开发利用水平参差不齐，粗放式开发、出售原矿等问题仍然存在，资源优势转化为产业优势、经济优势的动能不足；</w:t>
      </w:r>
      <w:r>
        <w:rPr>
          <w:rFonts w:hint="eastAsia" w:ascii="楷体" w:hAnsi="楷体" w:eastAsia="楷体" w:cs="楷体"/>
          <w:b/>
          <w:bCs/>
          <w:color w:val="auto"/>
          <w:kern w:val="2"/>
          <w:sz w:val="32"/>
          <w:szCs w:val="32"/>
          <w:lang w:val="en-US" w:eastAsia="zh-CN" w:bidi="ar-SA"/>
        </w:rPr>
        <w:t>三是</w:t>
      </w:r>
      <w:r>
        <w:rPr>
          <w:rFonts w:hint="eastAsia" w:ascii="Times New Roman" w:hAnsi="Times New Roman" w:eastAsia="仿宋" w:cs="Times New Roman"/>
          <w:color w:val="auto"/>
          <w:sz w:val="32"/>
          <w:szCs w:val="32"/>
          <w:lang w:val="en-US" w:eastAsia="zh-CN"/>
        </w:rPr>
        <w:t>矿产资源开发与生态保护矛盾突出，受生态红线、国道、省道、高速公路、铁路和各类自然保护地等影响，地质勘查与开发的空间越来越小；</w:t>
      </w:r>
      <w:r>
        <w:rPr>
          <w:rFonts w:hint="eastAsia" w:ascii="楷体" w:hAnsi="楷体" w:eastAsia="楷体" w:cs="楷体"/>
          <w:b/>
          <w:bCs/>
          <w:color w:val="auto"/>
          <w:kern w:val="2"/>
          <w:sz w:val="32"/>
          <w:szCs w:val="32"/>
          <w:lang w:val="en-US" w:eastAsia="zh-CN" w:bidi="ar-SA"/>
        </w:rPr>
        <w:t>四是</w:t>
      </w:r>
      <w:r>
        <w:rPr>
          <w:rFonts w:hint="eastAsia" w:ascii="Times New Roman" w:hAnsi="Times New Roman" w:eastAsia="仿宋" w:cs="Times New Roman"/>
          <w:color w:val="auto"/>
          <w:sz w:val="32"/>
          <w:szCs w:val="32"/>
          <w:lang w:val="en-US" w:eastAsia="zh-CN"/>
        </w:rPr>
        <w:t>矿产资源开发一定程度上造成对生态环境破坏，矿山企业生态环境保护意识不强，生态环境修复与治理投入少、效果不佳。</w:t>
      </w:r>
    </w:p>
    <w:p w14:paraId="5DF9616D">
      <w:pPr>
        <w:numPr>
          <w:ilvl w:val="0"/>
          <w:numId w:val="0"/>
        </w:numPr>
        <w:ind w:firstLine="643" w:firstLineChars="200"/>
        <w:rPr>
          <w:rFonts w:hint="eastAsia" w:ascii="仿宋" w:hAnsi="仿宋" w:eastAsia="仿宋" w:cs="仿宋"/>
          <w:color w:val="auto"/>
          <w:sz w:val="32"/>
          <w:szCs w:val="32"/>
          <w:lang w:val="en-US" w:eastAsia="zh-CN"/>
        </w:rPr>
      </w:pPr>
      <w:r>
        <w:rPr>
          <w:rFonts w:hint="eastAsia" w:ascii="楷体" w:hAnsi="楷体" w:eastAsia="楷体" w:cs="楷体"/>
          <w:b/>
          <w:bCs/>
          <w:color w:val="auto"/>
          <w:kern w:val="2"/>
          <w:sz w:val="32"/>
          <w:szCs w:val="32"/>
          <w:lang w:val="en-US" w:eastAsia="zh-CN" w:bidi="ar-SA"/>
        </w:rPr>
        <w:t>林地资源管理方面：一是</w:t>
      </w:r>
      <w:r>
        <w:rPr>
          <w:rFonts w:hint="eastAsia" w:ascii="仿宋" w:hAnsi="仿宋" w:eastAsia="仿宋" w:cs="仿宋"/>
          <w:color w:val="auto"/>
          <w:sz w:val="32"/>
          <w:szCs w:val="32"/>
          <w:lang w:val="en-US" w:eastAsia="zh-CN"/>
        </w:rPr>
        <w:t>林地面积较往年有所增加，但每公顷乔木林蓄积量却低于全市平均水平，林分质量有待提高。</w:t>
      </w:r>
      <w:r>
        <w:rPr>
          <w:rFonts w:hint="eastAsia" w:ascii="楷体" w:hAnsi="楷体" w:eastAsia="楷体" w:cs="楷体"/>
          <w:b/>
          <w:bCs/>
          <w:color w:val="auto"/>
          <w:kern w:val="2"/>
          <w:sz w:val="32"/>
          <w:szCs w:val="32"/>
          <w:lang w:val="en-US" w:eastAsia="zh-CN" w:bidi="ar-SA"/>
        </w:rPr>
        <w:t>二是</w:t>
      </w:r>
      <w:r>
        <w:rPr>
          <w:rFonts w:hint="eastAsia" w:ascii="仿宋" w:hAnsi="仿宋" w:eastAsia="仿宋" w:cs="仿宋"/>
          <w:color w:val="auto"/>
          <w:sz w:val="32"/>
          <w:szCs w:val="32"/>
          <w:lang w:val="en-US" w:eastAsia="zh-CN"/>
        </w:rPr>
        <w:t>林地地类与国土地类有重叠交叉，林地管理边界有待进一步规范。</w:t>
      </w:r>
    </w:p>
    <w:p w14:paraId="3A053D8C">
      <w:pPr>
        <w:numPr>
          <w:ilvl w:val="0"/>
          <w:numId w:val="0"/>
        </w:numPr>
        <w:ind w:firstLine="643" w:firstLineChars="200"/>
        <w:rPr>
          <w:rFonts w:hint="eastAsia" w:ascii="仿宋" w:hAnsi="仿宋" w:eastAsia="仿宋" w:cs="仿宋"/>
          <w:color w:val="auto"/>
          <w:sz w:val="32"/>
          <w:szCs w:val="32"/>
          <w:lang w:val="en-US" w:eastAsia="zh-CN"/>
        </w:rPr>
      </w:pPr>
      <w:r>
        <w:rPr>
          <w:rFonts w:hint="eastAsia" w:ascii="楷体" w:hAnsi="楷体" w:eastAsia="楷体" w:cs="楷体"/>
          <w:b/>
          <w:bCs/>
          <w:i w:val="0"/>
          <w:caps w:val="0"/>
          <w:color w:val="auto"/>
          <w:spacing w:val="0"/>
          <w:w w:val="100"/>
          <w:kern w:val="0"/>
          <w:sz w:val="32"/>
          <w:szCs w:val="32"/>
          <w:lang w:val="en-US" w:eastAsia="zh-CN" w:bidi="ar-SA"/>
        </w:rPr>
        <w:t>农垦土地管理方面：一是</w:t>
      </w:r>
      <w:r>
        <w:rPr>
          <w:rFonts w:hint="eastAsia" w:ascii="仿宋" w:hAnsi="仿宋" w:eastAsia="仿宋" w:cs="仿宋"/>
          <w:color w:val="auto"/>
          <w:sz w:val="32"/>
          <w:szCs w:val="32"/>
          <w:lang w:val="en-US" w:eastAsia="zh-CN"/>
        </w:rPr>
        <w:t>权属不明确。农垦土地虽然属于国家所有，但部分土地存在权属不明确的情况，导致了管理和利用上的困难；</w:t>
      </w:r>
      <w:r>
        <w:rPr>
          <w:rFonts w:hint="eastAsia" w:ascii="楷体" w:hAnsi="楷体" w:eastAsia="楷体" w:cs="楷体"/>
          <w:b/>
          <w:bCs/>
          <w:i w:val="0"/>
          <w:caps w:val="0"/>
          <w:color w:val="auto"/>
          <w:spacing w:val="0"/>
          <w:w w:val="100"/>
          <w:kern w:val="0"/>
          <w:sz w:val="32"/>
          <w:szCs w:val="32"/>
          <w:lang w:val="en-US" w:eastAsia="zh-CN" w:bidi="ar-SA"/>
        </w:rPr>
        <w:t>二是</w:t>
      </w:r>
      <w:r>
        <w:rPr>
          <w:rFonts w:hint="eastAsia" w:ascii="仿宋" w:hAnsi="仿宋" w:eastAsia="仿宋" w:cs="仿宋"/>
          <w:color w:val="auto"/>
          <w:sz w:val="32"/>
          <w:szCs w:val="32"/>
          <w:lang w:val="en-US" w:eastAsia="zh-CN"/>
        </w:rPr>
        <w:t>利益共享机制缺失。垦地之间缺乏利益共享和资金共担机制，使得垦区在基础设施建设、产业发展等方面难以获得足够的支持和投入。</w:t>
      </w:r>
    </w:p>
    <w:p w14:paraId="4A630EAE">
      <w:pPr>
        <w:numPr>
          <w:ilvl w:val="0"/>
          <w:numId w:val="0"/>
        </w:numPr>
        <w:ind w:firstLine="643" w:firstLineChars="200"/>
        <w:rPr>
          <w:rFonts w:hint="eastAsia" w:ascii="仿宋" w:hAnsi="仿宋" w:eastAsia="仿宋" w:cs="仿宋"/>
          <w:color w:val="auto"/>
          <w:sz w:val="32"/>
          <w:szCs w:val="32"/>
          <w:lang w:val="en-US" w:eastAsia="zh-CN"/>
        </w:rPr>
      </w:pPr>
      <w:r>
        <w:rPr>
          <w:rFonts w:hint="eastAsia" w:ascii="楷体" w:hAnsi="楷体" w:eastAsia="楷体" w:cs="楷体"/>
          <w:b/>
          <w:bCs/>
          <w:i w:val="0"/>
          <w:caps w:val="0"/>
          <w:color w:val="auto"/>
          <w:spacing w:val="0"/>
          <w:w w:val="100"/>
          <w:kern w:val="0"/>
          <w:sz w:val="32"/>
          <w:szCs w:val="32"/>
          <w:lang w:val="en-US" w:eastAsia="zh-CN" w:bidi="ar-SA"/>
        </w:rPr>
        <w:t>水资源管理方面：一是</w:t>
      </w:r>
      <w:r>
        <w:rPr>
          <w:rFonts w:hint="eastAsia" w:ascii="仿宋" w:hAnsi="仿宋" w:eastAsia="仿宋" w:cs="仿宋"/>
          <w:color w:val="auto"/>
          <w:sz w:val="32"/>
          <w:szCs w:val="32"/>
          <w:lang w:val="en-US" w:eastAsia="zh-CN"/>
        </w:rPr>
        <w:t>水资源费未按月征收；</w:t>
      </w:r>
      <w:r>
        <w:rPr>
          <w:rFonts w:hint="eastAsia" w:ascii="楷体" w:hAnsi="楷体" w:eastAsia="楷体" w:cs="楷体"/>
          <w:b/>
          <w:bCs/>
          <w:i w:val="0"/>
          <w:caps w:val="0"/>
          <w:color w:val="auto"/>
          <w:spacing w:val="0"/>
          <w:w w:val="100"/>
          <w:kern w:val="0"/>
          <w:sz w:val="32"/>
          <w:szCs w:val="32"/>
          <w:lang w:val="en-US" w:eastAsia="zh-CN" w:bidi="ar-SA"/>
        </w:rPr>
        <w:t>二是社</w:t>
      </w:r>
      <w:r>
        <w:rPr>
          <w:rFonts w:hint="eastAsia" w:ascii="仿宋" w:hAnsi="仿宋" w:eastAsia="仿宋" w:cs="仿宋"/>
          <w:color w:val="auto"/>
          <w:sz w:val="32"/>
          <w:szCs w:val="32"/>
          <w:lang w:val="en-US" w:eastAsia="zh-CN"/>
        </w:rPr>
        <w:t>会节水意识不强。</w:t>
      </w:r>
    </w:p>
    <w:p w14:paraId="1E7CB067">
      <w:pPr>
        <w:numPr>
          <w:ilvl w:val="0"/>
          <w:numId w:val="0"/>
        </w:numPr>
        <w:ind w:firstLine="640" w:firstLineChars="200"/>
        <w:rPr>
          <w:rFonts w:hint="eastAsia" w:ascii="黑体" w:hAnsi="黑体" w:eastAsia="黑体" w:cs="黑体"/>
          <w:color w:val="auto"/>
          <w:kern w:val="2"/>
          <w:sz w:val="32"/>
          <w:szCs w:val="32"/>
          <w:lang w:val="en-US" w:eastAsia="zh-CN" w:bidi="ar-SA"/>
        </w:rPr>
      </w:pPr>
      <w:r>
        <w:rPr>
          <w:rFonts w:hint="eastAsia" w:ascii="黑体" w:hAnsi="黑体" w:eastAsia="黑体" w:cs="黑体"/>
          <w:color w:val="auto"/>
          <w:kern w:val="2"/>
          <w:sz w:val="32"/>
          <w:szCs w:val="32"/>
          <w:lang w:val="en-US" w:eastAsia="zh-CN" w:bidi="ar-SA"/>
        </w:rPr>
        <w:t>三、下一步工作打算</w:t>
      </w:r>
    </w:p>
    <w:p w14:paraId="258B22E9">
      <w:pPr>
        <w:pStyle w:val="9"/>
        <w:adjustRightInd w:val="0"/>
        <w:snapToGrid w:val="0"/>
        <w:spacing w:line="600" w:lineRule="exact"/>
        <w:ind w:firstLine="643" w:firstLineChars="200"/>
        <w:rPr>
          <w:rFonts w:hint="eastAsia" w:ascii="仿宋" w:hAnsi="仿宋" w:eastAsia="仿宋"/>
          <w:color w:val="auto"/>
          <w:sz w:val="32"/>
          <w:szCs w:val="32"/>
        </w:rPr>
      </w:pPr>
      <w:r>
        <w:rPr>
          <w:rFonts w:hint="eastAsia" w:ascii="楷体" w:hAnsi="楷体" w:eastAsia="楷体" w:cs="楷体"/>
          <w:b/>
          <w:bCs/>
          <w:i w:val="0"/>
          <w:caps w:val="0"/>
          <w:color w:val="auto"/>
          <w:spacing w:val="0"/>
          <w:w w:val="100"/>
          <w:kern w:val="0"/>
          <w:sz w:val="32"/>
          <w:szCs w:val="32"/>
          <w:lang w:val="en-US" w:eastAsia="zh-CN" w:bidi="ar-SA"/>
        </w:rPr>
        <w:t>土地资源管理方面：一是压实地方责任，完善耕保机制。</w:t>
      </w:r>
      <w:r>
        <w:rPr>
          <w:rFonts w:ascii="仿宋" w:hAnsi="仿宋" w:eastAsia="仿宋"/>
          <w:color w:val="auto"/>
          <w:sz w:val="32"/>
          <w:szCs w:val="32"/>
        </w:rPr>
        <w:t>建立和完善耕地保护责任制和相应的考核制度，</w:t>
      </w:r>
      <w:r>
        <w:rPr>
          <w:rFonts w:hint="eastAsia" w:ascii="仿宋" w:hAnsi="仿宋" w:eastAsia="仿宋"/>
          <w:color w:val="auto"/>
          <w:sz w:val="32"/>
          <w:szCs w:val="32"/>
        </w:rPr>
        <w:t>层层签订责任状，</w:t>
      </w:r>
      <w:r>
        <w:rPr>
          <w:rFonts w:ascii="仿宋" w:hAnsi="仿宋" w:eastAsia="仿宋"/>
          <w:color w:val="auto"/>
          <w:sz w:val="32"/>
          <w:szCs w:val="32"/>
        </w:rPr>
        <w:t>明确</w:t>
      </w:r>
      <w:r>
        <w:rPr>
          <w:rFonts w:hint="eastAsia" w:ascii="仿宋" w:hAnsi="仿宋" w:eastAsia="仿宋"/>
          <w:color w:val="auto"/>
          <w:sz w:val="32"/>
          <w:szCs w:val="32"/>
        </w:rPr>
        <w:t>乡镇（街道）</w:t>
      </w:r>
      <w:r>
        <w:rPr>
          <w:rFonts w:ascii="仿宋" w:hAnsi="仿宋" w:eastAsia="仿宋"/>
          <w:color w:val="auto"/>
          <w:sz w:val="32"/>
          <w:szCs w:val="32"/>
        </w:rPr>
        <w:t>耕地保护责任，</w:t>
      </w:r>
      <w:r>
        <w:rPr>
          <w:rFonts w:hint="eastAsia" w:ascii="仿宋" w:hAnsi="仿宋" w:eastAsia="仿宋"/>
          <w:color w:val="auto"/>
          <w:sz w:val="32"/>
          <w:szCs w:val="32"/>
        </w:rPr>
        <w:t>乡镇（街道）</w:t>
      </w:r>
      <w:r>
        <w:rPr>
          <w:rFonts w:ascii="仿宋" w:hAnsi="仿宋" w:eastAsia="仿宋"/>
          <w:color w:val="auto"/>
          <w:sz w:val="32"/>
          <w:szCs w:val="32"/>
        </w:rPr>
        <w:t>主要负责人对</w:t>
      </w:r>
      <w:r>
        <w:rPr>
          <w:rFonts w:hint="eastAsia" w:ascii="仿宋" w:hAnsi="仿宋" w:eastAsia="仿宋"/>
          <w:color w:val="auto"/>
          <w:sz w:val="32"/>
          <w:szCs w:val="32"/>
        </w:rPr>
        <w:t>本辖区</w:t>
      </w:r>
      <w:r>
        <w:rPr>
          <w:rFonts w:ascii="仿宋" w:hAnsi="仿宋" w:eastAsia="仿宋"/>
          <w:color w:val="auto"/>
          <w:sz w:val="32"/>
          <w:szCs w:val="32"/>
        </w:rPr>
        <w:t>耕地保护负总责，每年要进行责任考核并向</w:t>
      </w:r>
      <w:r>
        <w:rPr>
          <w:rFonts w:hint="eastAsia" w:ascii="仿宋" w:hAnsi="仿宋" w:eastAsia="仿宋"/>
          <w:color w:val="auto"/>
          <w:sz w:val="32"/>
          <w:szCs w:val="32"/>
        </w:rPr>
        <w:t>县级</w:t>
      </w:r>
      <w:r>
        <w:rPr>
          <w:rFonts w:ascii="仿宋" w:hAnsi="仿宋" w:eastAsia="仿宋"/>
          <w:color w:val="auto"/>
          <w:sz w:val="32"/>
          <w:szCs w:val="32"/>
        </w:rPr>
        <w:t>政府报告耕地保护责任目标的履行情况，对违法违规占用耕地的要从快从严查处，并对有关责任人要依法追究责任</w:t>
      </w:r>
      <w:r>
        <w:rPr>
          <w:rFonts w:hint="eastAsia" w:ascii="仿宋" w:hAnsi="仿宋" w:eastAsia="仿宋"/>
          <w:color w:val="auto"/>
          <w:sz w:val="32"/>
          <w:szCs w:val="32"/>
        </w:rPr>
        <w:t>，将其离任纳入审计内容</w:t>
      </w:r>
      <w:r>
        <w:rPr>
          <w:rFonts w:ascii="仿宋" w:hAnsi="仿宋" w:eastAsia="仿宋"/>
          <w:color w:val="auto"/>
          <w:sz w:val="32"/>
          <w:szCs w:val="32"/>
        </w:rPr>
        <w:t>。</w:t>
      </w:r>
      <w:r>
        <w:rPr>
          <w:rFonts w:hint="eastAsia" w:ascii="仿宋" w:hAnsi="仿宋" w:eastAsia="仿宋"/>
          <w:color w:val="auto"/>
          <w:sz w:val="32"/>
          <w:szCs w:val="32"/>
        </w:rPr>
        <w:t>加快构建党政同责、属地负责、部门协同、源头治理、全域覆盖的工作格局，确保地有人管、田有人种、粮食有人护。</w:t>
      </w:r>
      <w:r>
        <w:rPr>
          <w:rFonts w:hint="eastAsia" w:ascii="楷体" w:hAnsi="楷体" w:eastAsia="楷体" w:cs="楷体"/>
          <w:b/>
          <w:bCs/>
          <w:i w:val="0"/>
          <w:caps w:val="0"/>
          <w:color w:val="auto"/>
          <w:spacing w:val="0"/>
          <w:w w:val="100"/>
          <w:kern w:val="0"/>
          <w:sz w:val="32"/>
          <w:szCs w:val="32"/>
          <w:lang w:val="en-US" w:eastAsia="zh-CN" w:bidi="ar-SA"/>
        </w:rPr>
        <w:t>二是坚持节约集约，提高用地效率。</w:t>
      </w:r>
      <w:r>
        <w:rPr>
          <w:rFonts w:hint="eastAsia" w:ascii="仿宋" w:hAnsi="仿宋" w:eastAsia="仿宋"/>
          <w:b w:val="0"/>
          <w:color w:val="auto"/>
          <w:sz w:val="32"/>
          <w:szCs w:val="32"/>
        </w:rPr>
        <w:t>把节约集约用地作为经济社会发展必须遵循的基本准则，切实转变用地观念，以土地利用方式的转变推动经济社会发展方式的转变。要坚持“凡用地、先挖潜”，深入推进“标准地”“亩均论英雄”等改革，持续完善“增存挂钩”机制，强力推进批而未供和闲置土地处置，盘活存量用地、减少新增占地，让“沉睡”的建设用地焕发出新活力。要紧盯招商引资、产业布局、项目建设等领域，强化土地规划和计划调控管理，严格审查项目用地，从严控制建设用地规模，加强建设用地批后监管，用最小的土地资源实现最大的经济社会效益。</w:t>
      </w:r>
      <w:r>
        <w:rPr>
          <w:rFonts w:hint="eastAsia" w:ascii="楷体" w:hAnsi="楷体" w:eastAsia="楷体" w:cs="楷体"/>
          <w:b/>
          <w:bCs/>
          <w:i w:val="0"/>
          <w:caps w:val="0"/>
          <w:color w:val="auto"/>
          <w:spacing w:val="0"/>
          <w:w w:val="100"/>
          <w:kern w:val="0"/>
          <w:sz w:val="32"/>
          <w:szCs w:val="32"/>
          <w:lang w:val="en-US" w:eastAsia="zh-CN" w:bidi="ar-SA"/>
        </w:rPr>
        <w:t>三是加大执法力度，查处违法行为。</w:t>
      </w:r>
      <w:r>
        <w:rPr>
          <w:rFonts w:hint="eastAsia" w:ascii="仿宋" w:hAnsi="仿宋" w:eastAsia="仿宋"/>
          <w:color w:val="auto"/>
          <w:sz w:val="32"/>
          <w:szCs w:val="32"/>
        </w:rPr>
        <w:t>加强基层专业执法队伍建设，充实基层执法人员力量，提升队伍素质，定期开展综合行政执法业务培训，着重提升综合执法履职能力。县自然资源监察大队和基层自然资源管理所密切配合开展动态巡查，发挥乡镇基层组织力量，强化基层执法，从源头上管控违法行为。要常态化开展耕地变化情况动态监测，及时发现和制止耕地违法行为，用好执法“利剑”，始终保持高压态势，妥善处理乱占耕地建房、挖田造湖、违建“大棚房”等各类违法用地行为，对有法不依、执法不严的、存在“宽松软”的，坚决严肃追责问责。</w:t>
      </w:r>
    </w:p>
    <w:p w14:paraId="4332F8A0">
      <w:pPr>
        <w:pStyle w:val="9"/>
        <w:adjustRightInd w:val="0"/>
        <w:snapToGrid w:val="0"/>
        <w:spacing w:line="600" w:lineRule="exact"/>
        <w:ind w:firstLine="643" w:firstLineChars="200"/>
        <w:rPr>
          <w:rFonts w:hint="eastAsia" w:ascii="Times New Roman" w:hAnsi="Times New Roman" w:eastAsia="仿宋" w:cs="Times New Roman"/>
          <w:color w:val="auto"/>
          <w:sz w:val="32"/>
          <w:szCs w:val="32"/>
          <w:lang w:val="en-US" w:eastAsia="zh-CN"/>
        </w:rPr>
      </w:pPr>
      <w:r>
        <w:rPr>
          <w:rFonts w:hint="eastAsia" w:ascii="楷体" w:hAnsi="楷体" w:eastAsia="楷体" w:cs="楷体"/>
          <w:b/>
          <w:bCs/>
          <w:color w:val="auto"/>
          <w:sz w:val="32"/>
          <w:szCs w:val="32"/>
          <w:lang w:val="en-US" w:eastAsia="zh-CN"/>
        </w:rPr>
        <w:t>矿产资源管理方面：一是强化规划引领与管控。</w:t>
      </w:r>
      <w:r>
        <w:rPr>
          <w:rFonts w:hint="eastAsia" w:ascii="Times New Roman" w:hAnsi="Times New Roman" w:eastAsia="仿宋" w:cs="Times New Roman"/>
          <w:color w:val="auto"/>
          <w:sz w:val="32"/>
          <w:szCs w:val="32"/>
          <w:lang w:val="en-US" w:eastAsia="zh-CN"/>
        </w:rPr>
        <w:t>加强矿产资源规划与生态保护规划以及各类产业规划的衔接，优化矿产资源开发利用结构和布局，综合考虑发改、生态环境、应急、水利、林业等部门意见，确立矿产资源开发“五个一批”总体框架，即做大做强一批、做精做优一批、整顿规范一批、淘汰关闭一批、鼓励开发一批。加强现有矿山采矿延续管理，进一步优化矿产资源开发利用结构和布局，提高矿产资源开发利用规模化、集约化水平，提高矿业高质量发展。</w:t>
      </w:r>
      <w:r>
        <w:rPr>
          <w:rFonts w:hint="eastAsia" w:ascii="楷体" w:hAnsi="楷体" w:eastAsia="楷体" w:cs="楷体"/>
          <w:b/>
          <w:bCs/>
          <w:color w:val="auto"/>
          <w:sz w:val="32"/>
          <w:szCs w:val="32"/>
          <w:lang w:val="en-US" w:eastAsia="zh-CN"/>
        </w:rPr>
        <w:t>二是加强战略性矿种保障。</w:t>
      </w:r>
      <w:r>
        <w:rPr>
          <w:rFonts w:hint="eastAsia" w:ascii="Times New Roman" w:hAnsi="Times New Roman" w:eastAsia="仿宋" w:cs="Times New Roman"/>
          <w:color w:val="auto"/>
          <w:sz w:val="32"/>
          <w:szCs w:val="32"/>
          <w:lang w:val="en-US" w:eastAsia="zh-CN"/>
        </w:rPr>
        <w:t>采取“就矿找矿”的方法快速突破，深挖战略性矿产资源潜力，加大战略性矿业权公开出让力度，提升战略性矿产“探转采”效率，积极构建多元投资、合力共为、规范有序、快速推进的地质找矿投入机制。结合我县战略性矿种勘查开发利用现状，对符合“探转采”条件的萤石、铜、金等战略性矿种探矿权，符合准入条件的允许其探转采；对已有的萤石、铜等战略性矿种采矿权，按照“就矿找矿”的要求，鼓励开展深部和上部找矿，加大资源勘查力度，切实提升战略性矿种资源保障能力。</w:t>
      </w:r>
      <w:r>
        <w:rPr>
          <w:rFonts w:hint="eastAsia" w:ascii="楷体" w:hAnsi="楷体" w:eastAsia="楷体" w:cs="楷体"/>
          <w:b/>
          <w:bCs/>
          <w:color w:val="auto"/>
          <w:sz w:val="32"/>
          <w:szCs w:val="32"/>
          <w:lang w:val="en-US" w:eastAsia="zh-CN"/>
        </w:rPr>
        <w:t>三是合理有序投放矿业权。</w:t>
      </w:r>
      <w:r>
        <w:rPr>
          <w:rFonts w:hint="eastAsia" w:ascii="Times New Roman" w:hAnsi="Times New Roman" w:eastAsia="仿宋" w:cs="Times New Roman"/>
          <w:color w:val="auto"/>
          <w:sz w:val="32"/>
          <w:szCs w:val="32"/>
          <w:lang w:val="en-US" w:eastAsia="zh-CN"/>
        </w:rPr>
        <w:t>全力争取上级资金和基金项目进行矿产资源勘查。加大地热勘查力度，促进矿业与旅游产业相融合。根据《玉山县矿产资源总体规划（2021-2025年）》，结合规划期内国民经济和社会发展对矿产资源的需求，合理有序投放采矿权，严格控制矿山数量，提高开采规模和开发利用水平，严把绿色矿山建设准入条件，统筹规划矿产资源勘查、开发利用和有效保护工作。</w:t>
      </w:r>
      <w:r>
        <w:rPr>
          <w:rFonts w:hint="eastAsia" w:ascii="楷体" w:hAnsi="楷体" w:eastAsia="楷体" w:cs="楷体"/>
          <w:b/>
          <w:bCs/>
          <w:color w:val="auto"/>
          <w:sz w:val="32"/>
          <w:szCs w:val="32"/>
          <w:lang w:val="en-US" w:eastAsia="zh-CN"/>
        </w:rPr>
        <w:t>四是强化全过程监督。</w:t>
      </w:r>
      <w:r>
        <w:rPr>
          <w:rFonts w:hint="eastAsia" w:ascii="Times New Roman" w:hAnsi="Times New Roman" w:eastAsia="仿宋" w:cs="Times New Roman"/>
          <w:color w:val="auto"/>
          <w:sz w:val="32"/>
          <w:szCs w:val="32"/>
          <w:lang w:val="en-US" w:eastAsia="zh-CN"/>
        </w:rPr>
        <w:t>加强部门联动，强化矿山开采全过程监督，切实维护好矿产资源勘查开发秩序，严肃查处非法转让矿业权、以采代探、圈而不探和越界开采等违法行为，加强行政执法与刑事司法有效衔接，依法打击涉矿违法犯罪行为。</w:t>
      </w:r>
      <w:r>
        <w:rPr>
          <w:rFonts w:hint="eastAsia" w:ascii="楷体" w:hAnsi="楷体" w:eastAsia="楷体" w:cs="楷体"/>
          <w:b/>
          <w:bCs/>
          <w:color w:val="auto"/>
          <w:sz w:val="32"/>
          <w:szCs w:val="32"/>
          <w:lang w:val="en-US" w:eastAsia="zh-CN"/>
        </w:rPr>
        <w:t>五是统筹推进矿业绿色开发。</w:t>
      </w:r>
      <w:r>
        <w:rPr>
          <w:rFonts w:hint="eastAsia" w:ascii="Times New Roman" w:hAnsi="Times New Roman" w:eastAsia="仿宋" w:cs="Times New Roman"/>
          <w:color w:val="auto"/>
          <w:sz w:val="32"/>
          <w:szCs w:val="32"/>
          <w:lang w:val="en-US" w:eastAsia="zh-CN"/>
        </w:rPr>
        <w:t>牢固树立“绿水清山就是金山银山”理念，统筹好发展和安全、开发和保护的关系。进一步延伸矿业产业链，推动矿山从开采资源、销售初级产品到深加工和高附加值产品延伸，实现矿产资源开发利用由粗放型向集约型转变。加大矿山生态环境保护修复力度，督促矿山企业严格落实“边开采、边修复”要求，履行生态修复义务，加强矿山监管，切实推进矿山生态修复。引导矿山企业增强绿色发展意识，扎实推进绿色矿山建设，实现矿业开发与生态环境保护协调发展，促进人与自然和谐共生。</w:t>
      </w:r>
    </w:p>
    <w:p w14:paraId="4BEC06B8">
      <w:pPr>
        <w:pStyle w:val="9"/>
        <w:adjustRightInd w:val="0"/>
        <w:snapToGrid w:val="0"/>
        <w:spacing w:line="600" w:lineRule="exact"/>
        <w:ind w:firstLine="643" w:firstLineChars="200"/>
        <w:rPr>
          <w:rFonts w:hint="eastAsia" w:ascii="Times New Roman" w:hAnsi="Times New Roman" w:eastAsia="仿宋" w:cs="Times New Roman"/>
          <w:color w:val="auto"/>
          <w:sz w:val="32"/>
          <w:szCs w:val="32"/>
          <w:lang w:val="en-US" w:eastAsia="zh-CN"/>
        </w:rPr>
      </w:pPr>
      <w:r>
        <w:rPr>
          <w:rFonts w:hint="eastAsia" w:ascii="楷体" w:hAnsi="楷体" w:eastAsia="楷体" w:cs="楷体"/>
          <w:b/>
          <w:bCs/>
          <w:color w:val="auto"/>
          <w:sz w:val="32"/>
          <w:szCs w:val="32"/>
          <w:lang w:val="en-US" w:eastAsia="zh-CN"/>
        </w:rPr>
        <w:t>农垦土地管理方面：一是</w:t>
      </w:r>
      <w:r>
        <w:rPr>
          <w:rFonts w:hint="eastAsia" w:ascii="Times New Roman" w:hAnsi="Times New Roman" w:eastAsia="仿宋" w:cs="Times New Roman"/>
          <w:color w:val="auto"/>
          <w:sz w:val="32"/>
          <w:szCs w:val="32"/>
          <w:lang w:val="en-US" w:eastAsia="zh-CN"/>
        </w:rPr>
        <w:t>通过实地调查座谈，按照“尊重历史、面对现实”原则，明确农垦国有土地的界址，力争做到国有资产不遗漏；</w:t>
      </w:r>
      <w:r>
        <w:rPr>
          <w:rFonts w:hint="eastAsia" w:ascii="楷体" w:hAnsi="楷体" w:eastAsia="楷体" w:cs="楷体"/>
          <w:b/>
          <w:bCs/>
          <w:color w:val="auto"/>
          <w:sz w:val="32"/>
          <w:szCs w:val="32"/>
          <w:lang w:val="en-US" w:eastAsia="zh-CN"/>
        </w:rPr>
        <w:t>二是</w:t>
      </w:r>
      <w:r>
        <w:rPr>
          <w:rFonts w:hint="eastAsia" w:ascii="Times New Roman" w:hAnsi="Times New Roman" w:eastAsia="仿宋" w:cs="Times New Roman"/>
          <w:color w:val="auto"/>
          <w:sz w:val="32"/>
          <w:szCs w:val="32"/>
          <w:lang w:val="en-US" w:eastAsia="zh-CN"/>
        </w:rPr>
        <w:t>加强与地方的沟通和联系，积极争取上级有关政策，使垦区各方面都能够更好的发展。</w:t>
      </w:r>
    </w:p>
    <w:p w14:paraId="6804A2AB">
      <w:pPr>
        <w:pStyle w:val="9"/>
        <w:adjustRightInd w:val="0"/>
        <w:snapToGrid w:val="0"/>
        <w:spacing w:line="600" w:lineRule="exact"/>
        <w:ind w:firstLine="643" w:firstLineChars="200"/>
        <w:rPr>
          <w:rFonts w:hint="eastAsia" w:ascii="仿宋" w:hAnsi="仿宋" w:eastAsia="仿宋" w:cs="仿宋"/>
          <w:color w:val="auto"/>
          <w:sz w:val="32"/>
          <w:szCs w:val="32"/>
          <w:lang w:val="en-US" w:eastAsia="zh-CN"/>
        </w:rPr>
      </w:pPr>
      <w:r>
        <w:rPr>
          <w:rFonts w:hint="eastAsia" w:ascii="楷体" w:hAnsi="楷体" w:eastAsia="楷体" w:cs="楷体"/>
          <w:b/>
          <w:bCs/>
          <w:color w:val="auto"/>
          <w:sz w:val="32"/>
          <w:szCs w:val="32"/>
          <w:lang w:val="en-US" w:eastAsia="zh-CN"/>
        </w:rPr>
        <w:t>林地资源管理方面：一是</w:t>
      </w:r>
      <w:r>
        <w:rPr>
          <w:rFonts w:hint="eastAsia" w:ascii="仿宋" w:hAnsi="仿宋" w:eastAsia="仿宋" w:cs="仿宋"/>
          <w:color w:val="auto"/>
          <w:sz w:val="32"/>
          <w:szCs w:val="32"/>
          <w:lang w:val="en-US" w:eastAsia="zh-CN"/>
        </w:rPr>
        <w:t>持续深化集体林权制度改革，进一步放活集体林地，促进绿色资源变资产；</w:t>
      </w:r>
      <w:r>
        <w:rPr>
          <w:rFonts w:hint="eastAsia" w:ascii="楷体" w:hAnsi="楷体" w:eastAsia="楷体" w:cs="楷体"/>
          <w:b/>
          <w:bCs/>
          <w:color w:val="auto"/>
          <w:kern w:val="2"/>
          <w:sz w:val="32"/>
          <w:szCs w:val="32"/>
          <w:lang w:val="en-US" w:eastAsia="zh-CN" w:bidi="ar-SA"/>
        </w:rPr>
        <w:t>二是</w:t>
      </w:r>
      <w:r>
        <w:rPr>
          <w:rFonts w:hint="eastAsia" w:ascii="仿宋" w:hAnsi="仿宋" w:eastAsia="仿宋" w:cs="仿宋"/>
          <w:color w:val="auto"/>
          <w:sz w:val="32"/>
          <w:szCs w:val="32"/>
          <w:lang w:val="en-US" w:eastAsia="zh-CN"/>
        </w:rPr>
        <w:t>强化森林抚育等森林可持续经营工作，提升林分质量，在充分保障森林生态功能前提下，优化全县森林资源功能区区划工作，实现绿水青山就是金山银山资源保护目标。</w:t>
      </w:r>
    </w:p>
    <w:p w14:paraId="5E3125CD">
      <w:pPr>
        <w:numPr>
          <w:ilvl w:val="0"/>
          <w:numId w:val="0"/>
        </w:numPr>
        <w:ind w:firstLine="643" w:firstLineChars="200"/>
        <w:rPr>
          <w:rFonts w:hint="eastAsia" w:ascii="仿宋" w:hAnsi="仿宋" w:eastAsia="仿宋" w:cs="仿宋"/>
          <w:color w:val="auto"/>
          <w:sz w:val="32"/>
          <w:szCs w:val="32"/>
          <w:lang w:val="en-US" w:eastAsia="zh-CN"/>
        </w:rPr>
      </w:pPr>
      <w:r>
        <w:rPr>
          <w:rFonts w:hint="eastAsia" w:ascii="楷体" w:hAnsi="楷体" w:eastAsia="楷体" w:cs="楷体"/>
          <w:b/>
          <w:bCs/>
          <w:color w:val="auto"/>
          <w:sz w:val="32"/>
          <w:szCs w:val="32"/>
          <w:lang w:val="en-US" w:eastAsia="zh-CN"/>
        </w:rPr>
        <w:t>水资源管理方面：一是</w:t>
      </w:r>
      <w:r>
        <w:rPr>
          <w:rFonts w:hint="eastAsia" w:ascii="仿宋" w:hAnsi="仿宋" w:eastAsia="仿宋" w:cs="仿宋"/>
          <w:color w:val="auto"/>
          <w:sz w:val="32"/>
          <w:szCs w:val="32"/>
          <w:lang w:val="en-US" w:eastAsia="zh-CN"/>
        </w:rPr>
        <w:t>积极对接税务局开展水资源税费改革；</w:t>
      </w:r>
      <w:r>
        <w:rPr>
          <w:rFonts w:hint="eastAsia" w:ascii="楷体" w:hAnsi="楷体" w:eastAsia="楷体" w:cs="楷体"/>
          <w:b/>
          <w:bCs/>
          <w:color w:val="auto"/>
          <w:sz w:val="32"/>
          <w:szCs w:val="32"/>
          <w:lang w:val="en-US" w:eastAsia="zh-CN"/>
        </w:rPr>
        <w:t>二是</w:t>
      </w:r>
      <w:r>
        <w:rPr>
          <w:rFonts w:hint="eastAsia" w:ascii="仿宋" w:hAnsi="仿宋" w:eastAsia="仿宋" w:cs="仿宋"/>
          <w:color w:val="auto"/>
          <w:sz w:val="32"/>
          <w:szCs w:val="32"/>
          <w:lang w:val="en-US" w:eastAsia="zh-CN"/>
        </w:rPr>
        <w:t>加大节水宣传力度，利用“世界水日”“中国水周”等重要时间节点，开展节水进校园、进社区、进企业等活动，进一步强化群众节水意识。</w:t>
      </w:r>
    </w:p>
    <w:p w14:paraId="05AB0959">
      <w:pPr>
        <w:numPr>
          <w:ilvl w:val="0"/>
          <w:numId w:val="0"/>
        </w:numPr>
        <w:ind w:firstLine="640" w:firstLineChars="200"/>
        <w:rPr>
          <w:rFonts w:hint="eastAsia" w:ascii="仿宋" w:hAnsi="仿宋" w:eastAsia="仿宋" w:cs="仿宋"/>
          <w:color w:val="auto"/>
          <w:sz w:val="32"/>
          <w:szCs w:val="32"/>
          <w:lang w:val="en-US" w:eastAsia="zh-CN"/>
        </w:rPr>
      </w:pPr>
    </w:p>
    <w:p w14:paraId="10E8DE36">
      <w:pPr>
        <w:numPr>
          <w:ilvl w:val="0"/>
          <w:numId w:val="0"/>
        </w:numPr>
        <w:ind w:firstLine="640" w:firstLineChars="200"/>
        <w:rPr>
          <w:rFonts w:hint="eastAsia" w:ascii="仿宋" w:hAnsi="仿宋" w:eastAsia="仿宋" w:cs="仿宋"/>
          <w:color w:val="auto"/>
          <w:sz w:val="32"/>
          <w:szCs w:val="32"/>
          <w:lang w:val="en-US" w:eastAsia="zh-CN"/>
        </w:rPr>
      </w:pPr>
    </w:p>
    <w:p w14:paraId="254813F0">
      <w:pPr>
        <w:numPr>
          <w:ilvl w:val="0"/>
          <w:numId w:val="0"/>
        </w:numPr>
        <w:ind w:firstLine="640" w:firstLineChars="200"/>
        <w:jc w:val="right"/>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2024年1</w:t>
      </w:r>
      <w:r>
        <w:rPr>
          <w:rFonts w:hint="eastAsia" w:eastAsia="仿宋" w:cs="Times New Roman"/>
          <w:color w:val="auto"/>
          <w:sz w:val="32"/>
          <w:szCs w:val="32"/>
          <w:lang w:val="en-US" w:eastAsia="zh-CN"/>
        </w:rPr>
        <w:t>2</w:t>
      </w:r>
      <w:r>
        <w:rPr>
          <w:rFonts w:hint="default" w:ascii="Times New Roman" w:hAnsi="Times New Roman" w:eastAsia="仿宋" w:cs="Times New Roman"/>
          <w:color w:val="auto"/>
          <w:sz w:val="32"/>
          <w:szCs w:val="32"/>
          <w:lang w:val="en-US" w:eastAsia="zh-CN"/>
        </w:rPr>
        <w:t>月2</w:t>
      </w:r>
      <w:r>
        <w:rPr>
          <w:rFonts w:hint="eastAsia" w:eastAsia="仿宋" w:cs="Times New Roman"/>
          <w:color w:val="auto"/>
          <w:sz w:val="32"/>
          <w:szCs w:val="32"/>
          <w:lang w:val="en-US" w:eastAsia="zh-CN"/>
        </w:rPr>
        <w:t>7</w:t>
      </w:r>
      <w:bookmarkStart w:id="0" w:name="_GoBack"/>
      <w:bookmarkEnd w:id="0"/>
      <w:r>
        <w:rPr>
          <w:rFonts w:hint="default" w:ascii="Times New Roman" w:hAnsi="Times New Roman" w:eastAsia="仿宋" w:cs="Times New Roman"/>
          <w:color w:val="auto"/>
          <w:sz w:val="32"/>
          <w:szCs w:val="32"/>
          <w:lang w:val="en-US" w:eastAsia="zh-CN"/>
        </w:rPr>
        <w:t>日</w:t>
      </w:r>
    </w:p>
    <w:p w14:paraId="5521BAC3">
      <w:pPr>
        <w:numPr>
          <w:ilvl w:val="0"/>
          <w:numId w:val="0"/>
        </w:numPr>
        <w:ind w:firstLine="640" w:firstLineChars="200"/>
        <w:rPr>
          <w:rFonts w:hint="default" w:ascii="Times New Roman" w:hAnsi="Times New Roman" w:eastAsia="仿宋" w:cs="Times New Roman"/>
          <w:color w:val="auto"/>
          <w:sz w:val="32"/>
          <w:szCs w:val="32"/>
          <w:lang w:val="en-US" w:eastAsia="zh-CN"/>
        </w:rPr>
      </w:pPr>
    </w:p>
    <w:p w14:paraId="373CE359">
      <w:pPr>
        <w:pStyle w:val="9"/>
        <w:adjustRightInd w:val="0"/>
        <w:snapToGrid w:val="0"/>
        <w:spacing w:line="600" w:lineRule="exact"/>
        <w:ind w:firstLine="640" w:firstLineChars="200"/>
        <w:rPr>
          <w:rFonts w:hint="default" w:ascii="仿宋" w:hAnsi="仿宋" w:eastAsia="仿宋" w:cs="仿宋"/>
          <w:color w:val="auto"/>
          <w:sz w:val="32"/>
          <w:szCs w:val="32"/>
          <w:lang w:val="en-US" w:eastAsia="zh-CN"/>
        </w:rPr>
      </w:pPr>
    </w:p>
    <w:p w14:paraId="603BE92B">
      <w:pPr>
        <w:numPr>
          <w:ilvl w:val="0"/>
          <w:numId w:val="0"/>
        </w:numPr>
        <w:ind w:firstLine="640" w:firstLineChars="200"/>
        <w:rPr>
          <w:rFonts w:hint="default" w:ascii="Times New Roman" w:hAnsi="Times New Roman" w:eastAsia="仿宋" w:cs="Times New Roman"/>
          <w:color w:val="auto"/>
          <w:kern w:val="2"/>
          <w:sz w:val="32"/>
          <w:szCs w:val="32"/>
          <w:lang w:val="en-US" w:eastAsia="zh-CN" w:bidi="ar-S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E4MTM4ZGU0YTRmYzBkNGFmMTZjOGVhNjMwMmY3YzQifQ=="/>
  </w:docVars>
  <w:rsids>
    <w:rsidRoot w:val="5D1E24C1"/>
    <w:rsid w:val="064C7016"/>
    <w:rsid w:val="0CDE6ACB"/>
    <w:rsid w:val="125B73AE"/>
    <w:rsid w:val="1A620D3B"/>
    <w:rsid w:val="1D492719"/>
    <w:rsid w:val="1EA669B3"/>
    <w:rsid w:val="21D05779"/>
    <w:rsid w:val="22AA14D2"/>
    <w:rsid w:val="35A63D7A"/>
    <w:rsid w:val="36176A26"/>
    <w:rsid w:val="3965142D"/>
    <w:rsid w:val="3B8E1539"/>
    <w:rsid w:val="43776D56"/>
    <w:rsid w:val="45BE0C6C"/>
    <w:rsid w:val="487F386D"/>
    <w:rsid w:val="5452714F"/>
    <w:rsid w:val="58ED5699"/>
    <w:rsid w:val="5D1E24C1"/>
    <w:rsid w:val="69926AF9"/>
    <w:rsid w:val="711D1697"/>
    <w:rsid w:val="74934247"/>
    <w:rsid w:val="753F6E24"/>
    <w:rsid w:val="7EF24F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Normal Indent"/>
    <w:basedOn w:val="1"/>
    <w:next w:val="1"/>
    <w:qFormat/>
    <w:uiPriority w:val="0"/>
    <w:pPr>
      <w:spacing w:line="460" w:lineRule="exact"/>
      <w:ind w:firstLine="560" w:firstLineChars="200"/>
      <w:jc w:val="left"/>
    </w:pPr>
    <w:rPr>
      <w:rFonts w:eastAsia="仿宋_GB2312"/>
      <w:sz w:val="28"/>
    </w:rPr>
  </w:style>
  <w:style w:type="paragraph" w:styleId="3">
    <w:name w:val="Body Text Indent"/>
    <w:basedOn w:val="1"/>
    <w:next w:val="2"/>
    <w:qFormat/>
    <w:uiPriority w:val="0"/>
    <w:pPr>
      <w:ind w:left="420" w:leftChars="200"/>
    </w:pPr>
  </w:style>
  <w:style w:type="paragraph" w:styleId="4">
    <w:name w:val="Normal (Web)"/>
    <w:basedOn w:val="1"/>
    <w:unhideWhenUsed/>
    <w:qFormat/>
    <w:uiPriority w:val="99"/>
    <w:rPr>
      <w:rFonts w:ascii="Calibri" w:hAnsi="Calibri" w:eastAsia="宋体" w:cs="Times New Roman"/>
      <w:sz w:val="24"/>
    </w:rPr>
  </w:style>
  <w:style w:type="paragraph" w:styleId="5">
    <w:name w:val="Body Text First Indent"/>
    <w:next w:val="1"/>
    <w:qFormat/>
    <w:uiPriority w:val="0"/>
    <w:pPr>
      <w:widowControl w:val="0"/>
      <w:spacing w:after="120"/>
      <w:ind w:firstLine="420" w:firstLineChars="100"/>
      <w:jc w:val="both"/>
    </w:pPr>
    <w:rPr>
      <w:rFonts w:ascii="Times New Roman" w:hAnsi="Times New Roman" w:eastAsia="宋体" w:cs="Times New Roman"/>
      <w:kern w:val="2"/>
      <w:sz w:val="24"/>
      <w:szCs w:val="24"/>
      <w:lang w:val="en-US" w:eastAsia="zh-CN" w:bidi="ar-SA"/>
    </w:rPr>
  </w:style>
  <w:style w:type="character" w:styleId="8">
    <w:name w:val="Strong"/>
    <w:basedOn w:val="7"/>
    <w:qFormat/>
    <w:uiPriority w:val="0"/>
    <w:rPr>
      <w:b/>
    </w:rPr>
  </w:style>
  <w:style w:type="paragraph" w:customStyle="1" w:styleId="9">
    <w:name w:val="Normal"/>
    <w:basedOn w:val="1"/>
    <w:qFormat/>
    <w:uiPriority w:val="0"/>
    <w:pPr>
      <w:widowControl/>
    </w:pPr>
    <w:rPr>
      <w:rFonts w:ascii="Times New Roman" w:hAnsi="Times New Roman" w:eastAsia="宋体" w:cs="Times New Roman"/>
      <w:szCs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5061</Words>
  <Characters>5461</Characters>
  <Lines>0</Lines>
  <Paragraphs>0</Paragraphs>
  <TotalTime>3</TotalTime>
  <ScaleCrop>false</ScaleCrop>
  <LinksUpToDate>false</LinksUpToDate>
  <CharactersWithSpaces>5465</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2024-10-23T00:16:00Z</dcterms:created>
  <dc:creator>唯一</dc:creator>
  <cp:lastModifiedBy>Administrator</cp:lastModifiedBy>
  <dcterms:modified xsi:type="dcterms:W3CDTF">2025-01-06T01:02:05Z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D250FDC6812343778075E59C909FA875_11</vt:lpwstr>
  </property>
  <property fmtid="{D5CDD505-2E9C-101B-9397-08002B2CF9AE}" pid="4" name="KSOTemplateDocerSaveRecord">
    <vt:lpwstr>eyJoZGlkIjoiYTIwNjE0YzNjYjkxMzllMzZiNzYwMGVhMzA5YTBlYjAifQ==</vt:lpwstr>
  </property>
</Properties>
</file>