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018303">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color w:val="000000" w:themeColor="text1"/>
          <w:kern w:val="0"/>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36"/>
          <w:szCs w:val="36"/>
          <w:lang w:eastAsia="zh-CN"/>
          <w14:textFill>
            <w14:solidFill>
              <w14:schemeClr w14:val="tx1"/>
            </w14:solidFill>
          </w14:textFill>
        </w:rPr>
        <w:t>玉山县人民政府</w:t>
      </w:r>
      <w:r>
        <w:rPr>
          <w:rFonts w:hint="eastAsia" w:ascii="方正小标宋简体" w:hAnsi="方正小标宋简体" w:eastAsia="方正小标宋简体" w:cs="方正小标宋简体"/>
          <w:color w:val="000000" w:themeColor="text1"/>
          <w:kern w:val="0"/>
          <w:sz w:val="36"/>
          <w:szCs w:val="36"/>
          <w14:textFill>
            <w14:solidFill>
              <w14:schemeClr w14:val="tx1"/>
            </w14:solidFill>
          </w14:textFill>
        </w:rPr>
        <w:t>关于20</w:t>
      </w:r>
      <w:r>
        <w:rPr>
          <w:rFonts w:hint="eastAsia" w:ascii="方正小标宋简体" w:hAnsi="方正小标宋简体" w:eastAsia="方正小标宋简体" w:cs="方正小标宋简体"/>
          <w:color w:val="000000" w:themeColor="text1"/>
          <w:kern w:val="0"/>
          <w:sz w:val="36"/>
          <w:szCs w:val="36"/>
          <w:lang w:val="en-US" w:eastAsia="zh-CN"/>
          <w14:textFill>
            <w14:solidFill>
              <w14:schemeClr w14:val="tx1"/>
            </w14:solidFill>
          </w14:textFill>
        </w:rPr>
        <w:t>23</w:t>
      </w:r>
      <w:r>
        <w:rPr>
          <w:rFonts w:hint="eastAsia" w:ascii="方正小标宋简体" w:hAnsi="方正小标宋简体" w:eastAsia="方正小标宋简体" w:cs="方正小标宋简体"/>
          <w:color w:val="000000" w:themeColor="text1"/>
          <w:kern w:val="0"/>
          <w:sz w:val="36"/>
          <w:szCs w:val="36"/>
          <w14:textFill>
            <w14:solidFill>
              <w14:schemeClr w14:val="tx1"/>
            </w14:solidFill>
          </w14:textFill>
        </w:rPr>
        <w:t>年度国有资产管理情况</w:t>
      </w:r>
    </w:p>
    <w:p w14:paraId="4FF4F534">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color w:val="000000" w:themeColor="text1"/>
          <w:kern w:val="0"/>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36"/>
          <w:szCs w:val="36"/>
          <w14:textFill>
            <w14:solidFill>
              <w14:schemeClr w14:val="tx1"/>
            </w14:solidFill>
          </w14:textFill>
        </w:rPr>
        <w:t>综合报告</w:t>
      </w:r>
    </w:p>
    <w:p w14:paraId="3657D808">
      <w:pPr>
        <w:pStyle w:val="7"/>
        <w:rPr>
          <w:rFonts w:hint="eastAsia"/>
        </w:rPr>
      </w:pPr>
    </w:p>
    <w:p w14:paraId="7C8530D4">
      <w:pPr>
        <w:keepNext w:val="0"/>
        <w:keepLines w:val="0"/>
        <w:pageBreakBefore w:val="0"/>
        <w:widowControl w:val="0"/>
        <w:kinsoku/>
        <w:wordWrap/>
        <w:overflowPunct/>
        <w:topLinePunct w:val="0"/>
        <w:autoSpaceDE/>
        <w:autoSpaceDN/>
        <w:bidi w:val="0"/>
        <w:adjustRightInd/>
        <w:snapToGrid/>
        <w:spacing w:line="312" w:lineRule="atLeast"/>
        <w:jc w:val="center"/>
        <w:textAlignment w:val="auto"/>
        <w:rPr>
          <w:rFonts w:hint="eastAsia" w:ascii="仿宋" w:hAnsi="仿宋" w:eastAsia="仿宋" w:cs="仿宋"/>
          <w:color w:val="444444"/>
          <w:kern w:val="0"/>
          <w:sz w:val="32"/>
          <w:szCs w:val="32"/>
        </w:rPr>
      </w:pPr>
      <w:r>
        <w:rPr>
          <w:rFonts w:hint="eastAsia" w:ascii="楷体" w:hAnsi="楷体" w:eastAsia="楷体" w:cs="楷体"/>
          <w:b/>
          <w:bCs/>
          <w:color w:val="3D3D3D"/>
          <w:kern w:val="0"/>
          <w:sz w:val="28"/>
          <w:szCs w:val="28"/>
          <w:lang w:val="en-US" w:eastAsia="zh-CN"/>
        </w:rPr>
        <w:t>2024年12月27日在玉山县第十七届人大常委会第二十九次会议上</w:t>
      </w:r>
    </w:p>
    <w:p w14:paraId="3EA65F24">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仿宋" w:hAnsi="仿宋" w:eastAsia="仿宋" w:cs="仿宋"/>
          <w:b/>
          <w:bCs/>
          <w:color w:val="3D3D3D"/>
          <w:kern w:val="0"/>
          <w:sz w:val="32"/>
          <w:szCs w:val="32"/>
        </w:rPr>
      </w:pPr>
      <w:r>
        <w:rPr>
          <w:rFonts w:hint="eastAsia" w:ascii="仿宋" w:hAnsi="仿宋" w:eastAsia="仿宋" w:cs="仿宋"/>
          <w:b/>
          <w:bCs/>
          <w:color w:val="3D3D3D"/>
          <w:kern w:val="0"/>
          <w:sz w:val="32"/>
          <w:szCs w:val="32"/>
          <w:lang w:eastAsia="zh-CN"/>
        </w:rPr>
        <w:t>主任、各位副主任、各位委员</w:t>
      </w:r>
      <w:r>
        <w:rPr>
          <w:rFonts w:hint="eastAsia" w:ascii="仿宋" w:hAnsi="仿宋" w:eastAsia="仿宋" w:cs="仿宋"/>
          <w:b/>
          <w:bCs/>
          <w:color w:val="3D3D3D"/>
          <w:kern w:val="0"/>
          <w:sz w:val="32"/>
          <w:szCs w:val="32"/>
        </w:rPr>
        <w:t>：</w:t>
      </w:r>
    </w:p>
    <w:p w14:paraId="6D04E7BB">
      <w:pPr>
        <w:keepNext w:val="0"/>
        <w:keepLines w:val="0"/>
        <w:pageBreakBefore w:val="0"/>
        <w:widowControl w:val="0"/>
        <w:kinsoku/>
        <w:wordWrap/>
        <w:overflowPunct/>
        <w:topLinePunct w:val="0"/>
        <w:autoSpaceDE/>
        <w:autoSpaceDN/>
        <w:bidi w:val="0"/>
        <w:adjustRightInd/>
        <w:snapToGrid/>
        <w:spacing w:line="640" w:lineRule="atLeast"/>
        <w:ind w:firstLine="640" w:firstLineChars="200"/>
        <w:jc w:val="both"/>
        <w:textAlignment w:val="auto"/>
        <w:rPr>
          <w:rFonts w:hint="default" w:ascii="Times New Roman" w:hAnsi="Times New Roman" w:eastAsia="仿宋" w:cs="Times New Roman"/>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lang w:eastAsia="zh-CN"/>
          <w14:textFill>
            <w14:solidFill>
              <w14:schemeClr w14:val="tx1"/>
            </w14:solidFill>
          </w14:textFill>
        </w:rPr>
        <w:t>根据</w:t>
      </w:r>
      <w:r>
        <w:rPr>
          <w:rFonts w:hint="eastAsia" w:ascii="仿宋" w:hAnsi="仿宋" w:eastAsia="仿宋" w:cs="仿宋"/>
          <w:color w:val="000000" w:themeColor="text1"/>
          <w:kern w:val="0"/>
          <w:sz w:val="32"/>
          <w:szCs w:val="32"/>
          <w14:textFill>
            <w14:solidFill>
              <w14:schemeClr w14:val="tx1"/>
            </w14:solidFill>
          </w14:textFill>
        </w:rPr>
        <w:t>《</w:t>
      </w:r>
      <w:r>
        <w:rPr>
          <w:rFonts w:hint="eastAsia" w:ascii="仿宋" w:hAnsi="仿宋" w:eastAsia="仿宋" w:cs="仿宋"/>
          <w:color w:val="000000" w:themeColor="text1"/>
          <w:kern w:val="0"/>
          <w:sz w:val="32"/>
          <w:szCs w:val="32"/>
          <w:lang w:eastAsia="zh-CN"/>
          <w14:textFill>
            <w14:solidFill>
              <w14:schemeClr w14:val="tx1"/>
            </w14:solidFill>
          </w14:textFill>
        </w:rPr>
        <w:t>中共玉山县委</w:t>
      </w:r>
      <w:r>
        <w:rPr>
          <w:rFonts w:hint="eastAsia" w:ascii="仿宋" w:hAnsi="仿宋" w:eastAsia="仿宋" w:cs="仿宋"/>
          <w:color w:val="000000" w:themeColor="text1"/>
          <w:kern w:val="0"/>
          <w:sz w:val="32"/>
          <w:szCs w:val="32"/>
          <w14:textFill>
            <w14:solidFill>
              <w14:schemeClr w14:val="tx1"/>
            </w14:solidFill>
          </w14:textFill>
        </w:rPr>
        <w:t>关于</w:t>
      </w:r>
      <w:r>
        <w:rPr>
          <w:rFonts w:hint="eastAsia" w:ascii="仿宋" w:hAnsi="仿宋" w:eastAsia="仿宋" w:cs="仿宋"/>
          <w:color w:val="000000" w:themeColor="text1"/>
          <w:kern w:val="0"/>
          <w:sz w:val="32"/>
          <w:szCs w:val="32"/>
          <w:lang w:eastAsia="zh-CN"/>
          <w14:textFill>
            <w14:solidFill>
              <w14:schemeClr w14:val="tx1"/>
            </w14:solidFill>
          </w14:textFill>
        </w:rPr>
        <w:t>玉山县人民政府</w:t>
      </w:r>
      <w:r>
        <w:rPr>
          <w:rFonts w:hint="eastAsia" w:ascii="仿宋" w:hAnsi="仿宋" w:eastAsia="仿宋" w:cs="仿宋"/>
          <w:color w:val="000000" w:themeColor="text1"/>
          <w:kern w:val="0"/>
          <w:sz w:val="32"/>
          <w:szCs w:val="32"/>
          <w14:textFill>
            <w14:solidFill>
              <w14:schemeClr w14:val="tx1"/>
            </w14:solidFill>
          </w14:textFill>
        </w:rPr>
        <w:t>向</w:t>
      </w:r>
      <w:r>
        <w:rPr>
          <w:rFonts w:hint="eastAsia" w:ascii="仿宋" w:hAnsi="仿宋" w:eastAsia="仿宋" w:cs="仿宋"/>
          <w:color w:val="000000" w:themeColor="text1"/>
          <w:kern w:val="0"/>
          <w:sz w:val="32"/>
          <w:szCs w:val="32"/>
          <w:lang w:eastAsia="zh-CN"/>
          <w14:textFill>
            <w14:solidFill>
              <w14:schemeClr w14:val="tx1"/>
            </w14:solidFill>
          </w14:textFill>
        </w:rPr>
        <w:t>县</w:t>
      </w:r>
      <w:r>
        <w:rPr>
          <w:rFonts w:hint="eastAsia" w:ascii="仿宋" w:hAnsi="仿宋" w:eastAsia="仿宋" w:cs="仿宋"/>
          <w:color w:val="000000" w:themeColor="text1"/>
          <w:kern w:val="0"/>
          <w:sz w:val="32"/>
          <w:szCs w:val="32"/>
          <w14:textFill>
            <w14:solidFill>
              <w14:schemeClr w14:val="tx1"/>
            </w14:solidFill>
          </w14:textFill>
        </w:rPr>
        <w:t>人大常委会报告国有资产管理情况制度的意见》</w:t>
      </w:r>
      <w:r>
        <w:rPr>
          <w:rFonts w:hint="eastAsia" w:ascii="仿宋" w:hAnsi="仿宋" w:eastAsia="仿宋" w:cs="仿宋"/>
          <w:color w:val="000000" w:themeColor="text1"/>
          <w:kern w:val="0"/>
          <w:sz w:val="32"/>
          <w:szCs w:val="32"/>
          <w:lang w:eastAsia="zh-CN"/>
          <w14:textFill>
            <w14:solidFill>
              <w14:schemeClr w14:val="tx1"/>
            </w14:solidFill>
          </w14:textFill>
        </w:rPr>
        <w:t>的要求</w:t>
      </w:r>
      <w:r>
        <w:rPr>
          <w:rFonts w:hint="eastAsia" w:ascii="仿宋" w:hAnsi="仿宋" w:eastAsia="仿宋" w:cs="仿宋"/>
          <w:color w:val="000000" w:themeColor="text1"/>
          <w:kern w:val="0"/>
          <w:sz w:val="32"/>
          <w:szCs w:val="32"/>
          <w14:textFill>
            <w14:solidFill>
              <w14:schemeClr w14:val="tx1"/>
            </w14:solidFill>
          </w14:textFill>
        </w:rPr>
        <w:t>，</w:t>
      </w:r>
      <w:r>
        <w:rPr>
          <w:rFonts w:hint="eastAsia" w:ascii="仿宋" w:hAnsi="仿宋" w:eastAsia="仿宋" w:cs="仿宋"/>
          <w:color w:val="000000" w:themeColor="text1"/>
          <w:kern w:val="0"/>
          <w:sz w:val="32"/>
          <w:szCs w:val="32"/>
          <w:lang w:eastAsia="zh-CN"/>
          <w14:textFill>
            <w14:solidFill>
              <w14:schemeClr w14:val="tx1"/>
            </w14:solidFill>
          </w14:textFill>
        </w:rPr>
        <w:t>受县人民政府委托，现将我县国有资产管理情况综合报告</w:t>
      </w:r>
      <w:r>
        <w:rPr>
          <w:rFonts w:hint="default" w:ascii="Times New Roman" w:hAnsi="Times New Roman" w:eastAsia="仿宋" w:cs="Times New Roman"/>
          <w:color w:val="000000" w:themeColor="text1"/>
          <w:kern w:val="0"/>
          <w:sz w:val="32"/>
          <w:szCs w:val="32"/>
          <w14:textFill>
            <w14:solidFill>
              <w14:schemeClr w14:val="tx1"/>
            </w14:solidFill>
          </w14:textFill>
        </w:rPr>
        <w:t>如下</w:t>
      </w:r>
      <w:r>
        <w:rPr>
          <w:rFonts w:hint="eastAsia" w:ascii="Times New Roman" w:hAnsi="Times New Roman" w:eastAsia="仿宋" w:cs="Times New Roman"/>
          <w:color w:val="000000" w:themeColor="text1"/>
          <w:kern w:val="0"/>
          <w:sz w:val="32"/>
          <w:szCs w:val="32"/>
          <w:lang w:eastAsia="zh-CN"/>
          <w14:textFill>
            <w14:solidFill>
              <w14:schemeClr w14:val="tx1"/>
            </w14:solidFill>
          </w14:textFill>
        </w:rPr>
        <w:t>，请予审议。</w:t>
      </w:r>
    </w:p>
    <w:p w14:paraId="209ED31C">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eastAsia" w:ascii="黑体" w:hAnsi="黑体" w:eastAsia="黑体" w:cs="黑体"/>
          <w:b/>
          <w:bCs/>
          <w:color w:val="000000"/>
          <w:kern w:val="0"/>
          <w:sz w:val="32"/>
          <w:szCs w:val="32"/>
        </w:rPr>
      </w:pPr>
      <w:r>
        <w:rPr>
          <w:rFonts w:hint="eastAsia" w:ascii="黑体" w:hAnsi="黑体" w:eastAsia="黑体" w:cs="黑体"/>
          <w:b/>
          <w:bCs/>
          <w:color w:val="000000"/>
          <w:kern w:val="0"/>
          <w:sz w:val="32"/>
          <w:szCs w:val="32"/>
          <w:lang w:val="en-US" w:eastAsia="zh-CN"/>
        </w:rPr>
        <w:t>一、关于我县</w:t>
      </w:r>
      <w:r>
        <w:rPr>
          <w:rFonts w:hint="eastAsia" w:ascii="黑体" w:hAnsi="黑体" w:eastAsia="黑体" w:cs="黑体"/>
          <w:b/>
          <w:bCs/>
          <w:color w:val="000000"/>
          <w:kern w:val="0"/>
          <w:sz w:val="32"/>
          <w:szCs w:val="32"/>
        </w:rPr>
        <w:t>行政事业性国有资产</w:t>
      </w:r>
      <w:r>
        <w:rPr>
          <w:rFonts w:hint="eastAsia" w:ascii="黑体" w:hAnsi="黑体" w:eastAsia="黑体" w:cs="黑体"/>
          <w:b/>
          <w:bCs/>
          <w:color w:val="000000"/>
          <w:kern w:val="0"/>
          <w:sz w:val="32"/>
          <w:szCs w:val="32"/>
          <w:lang w:val="en-US" w:eastAsia="zh-CN"/>
        </w:rPr>
        <w:t>管理</w:t>
      </w:r>
      <w:r>
        <w:rPr>
          <w:rFonts w:hint="eastAsia" w:ascii="黑体" w:hAnsi="黑体" w:eastAsia="黑体" w:cs="黑体"/>
          <w:b/>
          <w:bCs/>
          <w:color w:val="000000"/>
          <w:kern w:val="0"/>
          <w:sz w:val="32"/>
          <w:szCs w:val="32"/>
        </w:rPr>
        <w:t>情况</w:t>
      </w:r>
    </w:p>
    <w:p w14:paraId="73F2280B">
      <w:pPr>
        <w:pStyle w:val="2"/>
        <w:keepNext w:val="0"/>
        <w:keepLines w:val="0"/>
        <w:pageBreakBefore w:val="0"/>
        <w:widowControl w:val="0"/>
        <w:numPr>
          <w:ilvl w:val="0"/>
          <w:numId w:val="0"/>
        </w:numPr>
        <w:kinsoku/>
        <w:wordWrap/>
        <w:overflowPunct/>
        <w:topLinePunct w:val="0"/>
        <w:autoSpaceDN/>
        <w:bidi w:val="0"/>
        <w:spacing w:line="560" w:lineRule="exact"/>
        <w:ind w:firstLine="643" w:firstLineChars="200"/>
        <w:textAlignment w:val="auto"/>
        <w:rPr>
          <w:rFonts w:hint="default" w:ascii="Times New Roman" w:hAnsi="Times New Roman" w:eastAsia="仿宋" w:cs="Times New Roman"/>
          <w:color w:val="000000"/>
          <w:kern w:val="0"/>
          <w:sz w:val="32"/>
          <w:szCs w:val="32"/>
          <w:lang w:eastAsia="zh-CN"/>
        </w:rPr>
      </w:pPr>
      <w:r>
        <w:rPr>
          <w:rFonts w:hint="eastAsia" w:ascii="仿宋" w:hAnsi="仿宋" w:eastAsia="仿宋" w:cs="仿宋"/>
          <w:b/>
          <w:bCs/>
          <w:sz w:val="32"/>
          <w:szCs w:val="32"/>
          <w:highlight w:val="none"/>
        </w:rPr>
        <w:t>（一）行政事业性国有资产管理基本情况</w:t>
      </w:r>
    </w:p>
    <w:p w14:paraId="1E9A29CE">
      <w:pPr>
        <w:keepNext w:val="0"/>
        <w:keepLines w:val="0"/>
        <w:pageBreakBefore w:val="0"/>
        <w:widowControl w:val="0"/>
        <w:kinsoku/>
        <w:wordWrap/>
        <w:overflowPunct/>
        <w:topLinePunct w:val="0"/>
        <w:autoSpaceDE/>
        <w:autoSpaceDN/>
        <w:bidi w:val="0"/>
        <w:adjustRightInd/>
        <w:snapToGrid/>
        <w:spacing w:line="640" w:lineRule="atLeast"/>
        <w:ind w:left="0" w:leftChars="0" w:firstLine="640" w:firstLineChars="200"/>
        <w:jc w:val="both"/>
        <w:textAlignment w:val="auto"/>
        <w:rPr>
          <w:rFonts w:hint="default" w:ascii="Times New Roman" w:hAnsi="Times New Roman" w:eastAsia="仿宋" w:cs="Times New Roman"/>
          <w:color w:val="000000"/>
          <w:kern w:val="0"/>
          <w:sz w:val="32"/>
          <w:szCs w:val="32"/>
        </w:rPr>
      </w:pPr>
      <w:r>
        <w:rPr>
          <w:rFonts w:hint="default" w:ascii="Times New Roman" w:hAnsi="Times New Roman" w:eastAsia="仿宋" w:cs="Times New Roman"/>
          <w:color w:val="000000"/>
          <w:kern w:val="0"/>
          <w:sz w:val="32"/>
          <w:szCs w:val="32"/>
          <w:lang w:eastAsia="zh-CN"/>
        </w:rPr>
        <w:t>截止</w:t>
      </w:r>
      <w:r>
        <w:rPr>
          <w:rFonts w:hint="default" w:ascii="Times New Roman" w:hAnsi="Times New Roman" w:eastAsia="仿宋" w:cs="Times New Roman"/>
          <w:color w:val="000000"/>
          <w:kern w:val="0"/>
          <w:sz w:val="32"/>
          <w:szCs w:val="32"/>
        </w:rPr>
        <w:t>20</w:t>
      </w:r>
      <w:r>
        <w:rPr>
          <w:rFonts w:hint="default" w:ascii="Times New Roman" w:hAnsi="Times New Roman" w:eastAsia="仿宋" w:cs="Times New Roman"/>
          <w:color w:val="000000"/>
          <w:kern w:val="0"/>
          <w:sz w:val="32"/>
          <w:szCs w:val="32"/>
          <w:lang w:val="en-US" w:eastAsia="zh-CN"/>
        </w:rPr>
        <w:t>2</w:t>
      </w:r>
      <w:r>
        <w:rPr>
          <w:rFonts w:hint="eastAsia" w:ascii="Times New Roman" w:hAnsi="Times New Roman" w:eastAsia="仿宋" w:cs="Times New Roman"/>
          <w:color w:val="000000"/>
          <w:kern w:val="0"/>
          <w:sz w:val="32"/>
          <w:szCs w:val="32"/>
          <w:lang w:val="en-US" w:eastAsia="zh-CN"/>
        </w:rPr>
        <w:t>3</w:t>
      </w:r>
      <w:r>
        <w:rPr>
          <w:rFonts w:hint="default" w:ascii="Times New Roman" w:hAnsi="Times New Roman" w:eastAsia="仿宋" w:cs="Times New Roman"/>
          <w:color w:val="000000"/>
          <w:kern w:val="0"/>
          <w:sz w:val="32"/>
          <w:szCs w:val="32"/>
        </w:rPr>
        <w:t>年</w:t>
      </w:r>
      <w:r>
        <w:rPr>
          <w:rFonts w:hint="default" w:ascii="Times New Roman" w:hAnsi="Times New Roman" w:eastAsia="仿宋" w:cs="Times New Roman"/>
          <w:color w:val="000000"/>
          <w:kern w:val="0"/>
          <w:sz w:val="32"/>
          <w:szCs w:val="32"/>
          <w:lang w:val="en-US" w:eastAsia="zh-CN"/>
        </w:rPr>
        <w:t>12月31日</w:t>
      </w:r>
      <w:r>
        <w:rPr>
          <w:rFonts w:hint="default" w:ascii="Times New Roman" w:hAnsi="Times New Roman" w:eastAsia="仿宋" w:cs="Times New Roman"/>
          <w:color w:val="000000"/>
          <w:kern w:val="0"/>
          <w:sz w:val="32"/>
          <w:szCs w:val="32"/>
        </w:rPr>
        <w:t>，县本级行政事业单位资产总额</w:t>
      </w:r>
      <w:r>
        <w:rPr>
          <w:rFonts w:hint="default" w:ascii="Times New Roman" w:hAnsi="Times New Roman" w:eastAsia="仿宋" w:cs="Times New Roman"/>
          <w:color w:val="000000"/>
          <w:kern w:val="0"/>
          <w:sz w:val="32"/>
          <w:szCs w:val="32"/>
          <w:u w:val="none"/>
          <w:lang w:val="en-US" w:eastAsia="zh-CN"/>
        </w:rPr>
        <w:t>143</w:t>
      </w:r>
      <w:r>
        <w:rPr>
          <w:rFonts w:hint="eastAsia" w:ascii="Times New Roman" w:hAnsi="Times New Roman" w:eastAsia="仿宋" w:cs="Times New Roman"/>
          <w:color w:val="000000"/>
          <w:kern w:val="0"/>
          <w:sz w:val="32"/>
          <w:szCs w:val="32"/>
          <w:u w:val="none"/>
          <w:lang w:val="en-US" w:eastAsia="zh-CN"/>
        </w:rPr>
        <w:t>.</w:t>
      </w:r>
      <w:r>
        <w:rPr>
          <w:rFonts w:hint="default" w:ascii="Times New Roman" w:hAnsi="Times New Roman" w:eastAsia="仿宋" w:cs="Times New Roman"/>
          <w:color w:val="000000"/>
          <w:kern w:val="0"/>
          <w:sz w:val="32"/>
          <w:szCs w:val="32"/>
          <w:u w:val="none"/>
          <w:lang w:val="en-US" w:eastAsia="zh-CN"/>
        </w:rPr>
        <w:t>2</w:t>
      </w:r>
      <w:r>
        <w:rPr>
          <w:rFonts w:hint="eastAsia" w:ascii="Times New Roman" w:hAnsi="Times New Roman" w:eastAsia="仿宋" w:cs="Times New Roman"/>
          <w:color w:val="000000"/>
          <w:kern w:val="0"/>
          <w:sz w:val="32"/>
          <w:szCs w:val="32"/>
          <w:u w:val="none"/>
          <w:lang w:val="en-US" w:eastAsia="zh-CN"/>
        </w:rPr>
        <w:t>5</w:t>
      </w:r>
      <w:r>
        <w:rPr>
          <w:rFonts w:hint="default" w:ascii="Times New Roman" w:hAnsi="Times New Roman" w:eastAsia="仿宋" w:cs="Times New Roman"/>
          <w:color w:val="000000"/>
          <w:kern w:val="0"/>
          <w:sz w:val="32"/>
          <w:szCs w:val="32"/>
          <w:u w:val="none"/>
          <w:lang w:val="en-US" w:eastAsia="zh-CN"/>
        </w:rPr>
        <w:t>亿元；负债6</w:t>
      </w:r>
      <w:r>
        <w:rPr>
          <w:rFonts w:hint="eastAsia" w:ascii="Times New Roman" w:hAnsi="Times New Roman" w:eastAsia="仿宋" w:cs="Times New Roman"/>
          <w:color w:val="000000"/>
          <w:kern w:val="0"/>
          <w:sz w:val="32"/>
          <w:szCs w:val="32"/>
          <w:u w:val="none"/>
          <w:lang w:val="en-US" w:eastAsia="zh-CN"/>
        </w:rPr>
        <w:t>.</w:t>
      </w:r>
      <w:r>
        <w:rPr>
          <w:rFonts w:hint="default" w:ascii="Times New Roman" w:hAnsi="Times New Roman" w:eastAsia="仿宋" w:cs="Times New Roman"/>
          <w:color w:val="000000"/>
          <w:kern w:val="0"/>
          <w:sz w:val="32"/>
          <w:szCs w:val="32"/>
          <w:u w:val="none"/>
          <w:lang w:val="en-US" w:eastAsia="zh-CN"/>
        </w:rPr>
        <w:t>8</w:t>
      </w:r>
      <w:r>
        <w:rPr>
          <w:rFonts w:hint="eastAsia" w:ascii="Times New Roman" w:hAnsi="Times New Roman" w:eastAsia="仿宋" w:cs="Times New Roman"/>
          <w:color w:val="000000"/>
          <w:kern w:val="0"/>
          <w:sz w:val="32"/>
          <w:szCs w:val="32"/>
          <w:u w:val="none"/>
          <w:lang w:val="en-US" w:eastAsia="zh-CN"/>
        </w:rPr>
        <w:t>2</w:t>
      </w:r>
      <w:r>
        <w:rPr>
          <w:rFonts w:hint="default" w:ascii="Times New Roman" w:hAnsi="Times New Roman" w:eastAsia="仿宋" w:cs="Times New Roman"/>
          <w:color w:val="000000"/>
          <w:kern w:val="0"/>
          <w:sz w:val="32"/>
          <w:szCs w:val="32"/>
          <w:u w:val="none"/>
          <w:lang w:val="en-US" w:eastAsia="zh-CN"/>
        </w:rPr>
        <w:t>亿元；净资产总额136</w:t>
      </w:r>
      <w:r>
        <w:rPr>
          <w:rFonts w:hint="eastAsia" w:ascii="Times New Roman" w:hAnsi="Times New Roman" w:eastAsia="仿宋" w:cs="Times New Roman"/>
          <w:color w:val="000000"/>
          <w:kern w:val="0"/>
          <w:sz w:val="32"/>
          <w:szCs w:val="32"/>
          <w:u w:val="none"/>
          <w:lang w:val="en-US" w:eastAsia="zh-CN"/>
        </w:rPr>
        <w:t>.</w:t>
      </w:r>
      <w:r>
        <w:rPr>
          <w:rFonts w:hint="default" w:ascii="Times New Roman" w:hAnsi="Times New Roman" w:eastAsia="仿宋" w:cs="Times New Roman"/>
          <w:color w:val="000000"/>
          <w:kern w:val="0"/>
          <w:sz w:val="32"/>
          <w:szCs w:val="32"/>
          <w:u w:val="none"/>
          <w:lang w:val="en-US" w:eastAsia="zh-CN"/>
        </w:rPr>
        <w:t>43亿元。</w:t>
      </w:r>
      <w:r>
        <w:rPr>
          <w:rFonts w:hint="default" w:ascii="Times New Roman" w:hAnsi="Times New Roman" w:eastAsia="仿宋" w:cs="Times New Roman"/>
          <w:color w:val="000000"/>
          <w:kern w:val="0"/>
          <w:sz w:val="32"/>
          <w:szCs w:val="32"/>
        </w:rPr>
        <w:t>其中：行政单位资产总额</w:t>
      </w:r>
      <w:r>
        <w:rPr>
          <w:rFonts w:hint="default" w:ascii="Times New Roman" w:hAnsi="Times New Roman" w:eastAsia="仿宋" w:cs="Times New Roman"/>
          <w:color w:val="000000"/>
          <w:kern w:val="0"/>
          <w:sz w:val="32"/>
          <w:szCs w:val="32"/>
          <w:u w:val="none"/>
          <w:lang w:val="en-US" w:eastAsia="zh-CN"/>
        </w:rPr>
        <w:t>115</w:t>
      </w:r>
      <w:r>
        <w:rPr>
          <w:rFonts w:hint="eastAsia" w:ascii="Times New Roman" w:hAnsi="Times New Roman" w:eastAsia="仿宋" w:cs="Times New Roman"/>
          <w:color w:val="000000"/>
          <w:kern w:val="0"/>
          <w:sz w:val="32"/>
          <w:szCs w:val="32"/>
          <w:u w:val="none"/>
          <w:lang w:val="en-US" w:eastAsia="zh-CN"/>
        </w:rPr>
        <w:t>.</w:t>
      </w:r>
      <w:r>
        <w:rPr>
          <w:rFonts w:hint="default" w:ascii="Times New Roman" w:hAnsi="Times New Roman" w:eastAsia="仿宋" w:cs="Times New Roman"/>
          <w:color w:val="000000"/>
          <w:kern w:val="0"/>
          <w:sz w:val="32"/>
          <w:szCs w:val="32"/>
          <w:u w:val="none"/>
          <w:lang w:val="en-US" w:eastAsia="zh-CN"/>
        </w:rPr>
        <w:t>45</w:t>
      </w:r>
      <w:r>
        <w:rPr>
          <w:rFonts w:hint="default" w:ascii="Times New Roman" w:hAnsi="Times New Roman" w:eastAsia="仿宋" w:cs="Times New Roman"/>
          <w:color w:val="000000"/>
          <w:kern w:val="0"/>
          <w:sz w:val="32"/>
          <w:szCs w:val="32"/>
        </w:rPr>
        <w:t>亿元，事业单位资产总额</w:t>
      </w:r>
      <w:r>
        <w:rPr>
          <w:rFonts w:hint="default" w:ascii="Times New Roman" w:hAnsi="Times New Roman" w:eastAsia="仿宋" w:cs="Times New Roman"/>
          <w:color w:val="000000"/>
          <w:kern w:val="0"/>
          <w:sz w:val="32"/>
          <w:szCs w:val="32"/>
          <w:u w:val="none"/>
          <w:lang w:val="en-US" w:eastAsia="zh-CN"/>
        </w:rPr>
        <w:t>27</w:t>
      </w:r>
      <w:r>
        <w:rPr>
          <w:rFonts w:hint="eastAsia" w:ascii="Times New Roman" w:hAnsi="Times New Roman" w:eastAsia="仿宋" w:cs="Times New Roman"/>
          <w:color w:val="000000"/>
          <w:kern w:val="0"/>
          <w:sz w:val="32"/>
          <w:szCs w:val="32"/>
          <w:u w:val="none"/>
          <w:lang w:val="en-US" w:eastAsia="zh-CN"/>
        </w:rPr>
        <w:t>.80</w:t>
      </w:r>
      <w:r>
        <w:rPr>
          <w:rFonts w:hint="default" w:ascii="Times New Roman" w:hAnsi="Times New Roman" w:eastAsia="仿宋" w:cs="Times New Roman"/>
          <w:color w:val="000000"/>
          <w:kern w:val="0"/>
          <w:sz w:val="32"/>
          <w:szCs w:val="32"/>
        </w:rPr>
        <w:t>亿元。</w:t>
      </w:r>
    </w:p>
    <w:p w14:paraId="034A9377">
      <w:pPr>
        <w:keepNext w:val="0"/>
        <w:keepLines w:val="0"/>
        <w:pageBreakBefore w:val="0"/>
        <w:widowControl w:val="0"/>
        <w:kinsoku/>
        <w:wordWrap/>
        <w:overflowPunct/>
        <w:topLinePunct w:val="0"/>
        <w:autoSpaceDE/>
        <w:autoSpaceDN/>
        <w:bidi w:val="0"/>
        <w:adjustRightInd/>
        <w:snapToGrid/>
        <w:spacing w:line="640" w:lineRule="atLeast"/>
        <w:ind w:left="0" w:leftChars="0" w:firstLine="640" w:firstLineChars="200"/>
        <w:jc w:val="both"/>
        <w:textAlignment w:val="auto"/>
        <w:rPr>
          <w:rFonts w:hint="default" w:eastAsia="仿宋"/>
          <w:lang w:val="en-US" w:eastAsia="zh-CN"/>
        </w:rPr>
      </w:pPr>
      <w:r>
        <w:rPr>
          <w:rFonts w:hint="eastAsia" w:ascii="Times New Roman" w:hAnsi="Times New Roman" w:eastAsia="仿宋" w:cs="Times New Roman"/>
          <w:color w:val="000000"/>
          <w:kern w:val="0"/>
          <w:sz w:val="32"/>
          <w:szCs w:val="32"/>
          <w:lang w:val="en-US" w:eastAsia="zh-CN"/>
        </w:rPr>
        <w:t>行政事业单位资产配置使用处置情况如下：</w:t>
      </w:r>
    </w:p>
    <w:p w14:paraId="23E1E82E">
      <w:pPr>
        <w:keepNext w:val="0"/>
        <w:keepLines w:val="0"/>
        <w:pageBreakBefore w:val="0"/>
        <w:widowControl w:val="0"/>
        <w:kinsoku/>
        <w:wordWrap/>
        <w:overflowPunct/>
        <w:topLinePunct w:val="0"/>
        <w:autoSpaceDE/>
        <w:autoSpaceDN/>
        <w:bidi w:val="0"/>
        <w:adjustRightInd/>
        <w:snapToGrid/>
        <w:spacing w:line="640" w:lineRule="atLeast"/>
        <w:ind w:left="0" w:leftChars="0" w:firstLine="640" w:firstLineChars="200"/>
        <w:jc w:val="both"/>
        <w:textAlignment w:val="auto"/>
        <w:rPr>
          <w:rFonts w:hint="default" w:ascii="Times New Roman" w:hAnsi="Times New Roman" w:eastAsia="仿宋" w:cs="Times New Roman"/>
          <w:color w:val="000000"/>
          <w:kern w:val="0"/>
          <w:sz w:val="32"/>
          <w:szCs w:val="32"/>
        </w:rPr>
      </w:pPr>
      <w:r>
        <w:rPr>
          <w:rFonts w:hint="eastAsia" w:ascii="Times New Roman" w:hAnsi="Times New Roman" w:eastAsia="仿宋" w:cs="Times New Roman"/>
          <w:color w:val="000000"/>
          <w:kern w:val="0"/>
          <w:sz w:val="32"/>
          <w:szCs w:val="32"/>
          <w:lang w:val="en-US" w:eastAsia="zh-CN"/>
        </w:rPr>
        <w:t>1.</w:t>
      </w:r>
      <w:r>
        <w:rPr>
          <w:rFonts w:hint="default" w:ascii="Times New Roman" w:hAnsi="Times New Roman" w:eastAsia="仿宋" w:cs="Times New Roman"/>
          <w:color w:val="000000"/>
          <w:kern w:val="0"/>
          <w:sz w:val="32"/>
          <w:szCs w:val="32"/>
        </w:rPr>
        <w:t>资产配置情况。截止2023年12月31日，行政事业单位占用土地130.72万平方米，占有房屋面积153.79万平方米（其中行政单位27.17万平方米，事业单位126.62万平方米）；车辆实有数326辆，账面原值0.47亿元；大型设备实有87台，账面原值2.19亿元；在建工程账面价值1.87亿元。</w:t>
      </w:r>
    </w:p>
    <w:p w14:paraId="0E79B05D">
      <w:pPr>
        <w:keepNext w:val="0"/>
        <w:keepLines w:val="0"/>
        <w:pageBreakBefore w:val="0"/>
        <w:widowControl w:val="0"/>
        <w:kinsoku/>
        <w:wordWrap/>
        <w:overflowPunct/>
        <w:topLinePunct w:val="0"/>
        <w:autoSpaceDE/>
        <w:autoSpaceDN/>
        <w:bidi w:val="0"/>
        <w:adjustRightInd/>
        <w:snapToGrid/>
        <w:spacing w:line="640" w:lineRule="atLeast"/>
        <w:ind w:left="0" w:leftChars="0" w:firstLine="640" w:firstLineChars="200"/>
        <w:jc w:val="both"/>
        <w:textAlignment w:val="auto"/>
        <w:rPr>
          <w:rFonts w:hint="default" w:ascii="Times New Roman" w:hAnsi="Times New Roman" w:eastAsia="仿宋" w:cs="Times New Roman"/>
          <w:color w:val="000000"/>
          <w:kern w:val="0"/>
          <w:sz w:val="32"/>
          <w:szCs w:val="32"/>
        </w:rPr>
      </w:pPr>
      <w:r>
        <w:rPr>
          <w:rFonts w:hint="eastAsia" w:ascii="Times New Roman" w:hAnsi="Times New Roman" w:eastAsia="仿宋" w:cs="Times New Roman"/>
          <w:color w:val="000000"/>
          <w:kern w:val="0"/>
          <w:sz w:val="32"/>
          <w:szCs w:val="32"/>
          <w:lang w:val="en-US" w:eastAsia="zh-CN"/>
        </w:rPr>
        <w:t>2.</w:t>
      </w:r>
      <w:r>
        <w:rPr>
          <w:rFonts w:hint="default" w:ascii="Times New Roman" w:hAnsi="Times New Roman" w:eastAsia="仿宋" w:cs="Times New Roman"/>
          <w:color w:val="000000"/>
          <w:kern w:val="0"/>
          <w:sz w:val="32"/>
          <w:szCs w:val="32"/>
        </w:rPr>
        <w:t>资产使用情况。行政事业单位2023年度通过房屋、大型设备等出租出借，累计</w:t>
      </w:r>
      <w:r>
        <w:rPr>
          <w:rFonts w:hint="eastAsia" w:ascii="Times New Roman" w:hAnsi="Times New Roman" w:eastAsia="仿宋" w:cs="Times New Roman"/>
          <w:color w:val="000000"/>
          <w:kern w:val="0"/>
          <w:sz w:val="32"/>
          <w:szCs w:val="32"/>
          <w:lang w:eastAsia="zh-CN"/>
        </w:rPr>
        <w:t>租金收入</w:t>
      </w:r>
      <w:r>
        <w:rPr>
          <w:rFonts w:hint="default" w:ascii="Times New Roman" w:hAnsi="Times New Roman" w:eastAsia="仿宋" w:cs="Times New Roman"/>
          <w:color w:val="000000"/>
          <w:kern w:val="0"/>
          <w:sz w:val="32"/>
          <w:szCs w:val="32"/>
        </w:rPr>
        <w:t xml:space="preserve">220.75万元。 </w:t>
      </w:r>
    </w:p>
    <w:p w14:paraId="7EC739F4">
      <w:pPr>
        <w:keepNext w:val="0"/>
        <w:keepLines w:val="0"/>
        <w:pageBreakBefore w:val="0"/>
        <w:widowControl w:val="0"/>
        <w:kinsoku/>
        <w:wordWrap/>
        <w:overflowPunct/>
        <w:topLinePunct w:val="0"/>
        <w:autoSpaceDE/>
        <w:autoSpaceDN/>
        <w:bidi w:val="0"/>
        <w:adjustRightInd/>
        <w:snapToGrid/>
        <w:spacing w:line="640" w:lineRule="atLeast"/>
        <w:ind w:left="0" w:leftChars="0" w:firstLine="640" w:firstLineChars="200"/>
        <w:jc w:val="both"/>
        <w:textAlignment w:val="auto"/>
        <w:rPr>
          <w:rFonts w:hint="default" w:ascii="Times New Roman" w:hAnsi="Times New Roman" w:eastAsia="仿宋" w:cs="Times New Roman"/>
          <w:color w:val="000000"/>
          <w:kern w:val="0"/>
          <w:sz w:val="32"/>
          <w:szCs w:val="32"/>
        </w:rPr>
      </w:pPr>
      <w:r>
        <w:rPr>
          <w:rFonts w:hint="eastAsia" w:ascii="Times New Roman" w:hAnsi="Times New Roman" w:eastAsia="仿宋" w:cs="Times New Roman"/>
          <w:color w:val="000000"/>
          <w:kern w:val="0"/>
          <w:sz w:val="32"/>
          <w:szCs w:val="32"/>
          <w:lang w:val="en-US" w:eastAsia="zh-CN"/>
        </w:rPr>
        <w:t>3.</w:t>
      </w:r>
      <w:r>
        <w:rPr>
          <w:rFonts w:hint="default" w:ascii="Times New Roman" w:hAnsi="Times New Roman" w:eastAsia="仿宋" w:cs="Times New Roman"/>
          <w:color w:val="000000"/>
          <w:kern w:val="0"/>
          <w:sz w:val="32"/>
          <w:szCs w:val="32"/>
        </w:rPr>
        <w:t>资产处置情况。2023年度行政事业性国有资产处置账面价值1394.3万元，主要包含报废报损1051.7万元，无偿划转263.65万元,其他方式78.95万元。</w:t>
      </w:r>
    </w:p>
    <w:p w14:paraId="79C274D6">
      <w:pPr>
        <w:pStyle w:val="2"/>
        <w:keepNext w:val="0"/>
        <w:keepLines w:val="0"/>
        <w:pageBreakBefore w:val="0"/>
        <w:widowControl w:val="0"/>
        <w:numPr>
          <w:ilvl w:val="0"/>
          <w:numId w:val="0"/>
        </w:numPr>
        <w:kinsoku/>
        <w:wordWrap/>
        <w:overflowPunct/>
        <w:topLinePunct w:val="0"/>
        <w:autoSpaceDN/>
        <w:bidi w:val="0"/>
        <w:spacing w:line="560" w:lineRule="exact"/>
        <w:ind w:firstLine="643" w:firstLineChars="200"/>
        <w:textAlignment w:val="auto"/>
        <w:rPr>
          <w:rFonts w:hint="default" w:ascii="Times New Roman" w:hAnsi="Times New Roman" w:eastAsia="仿宋" w:cs="Times New Roman"/>
          <w:b/>
          <w:bCs/>
          <w:color w:val="000000"/>
          <w:kern w:val="0"/>
          <w:sz w:val="32"/>
          <w:szCs w:val="32"/>
        </w:rPr>
      </w:pPr>
      <w:r>
        <w:rPr>
          <w:rFonts w:hint="default" w:ascii="Times New Roman" w:hAnsi="Times New Roman" w:eastAsia="仿宋" w:cs="Times New Roman"/>
          <w:b/>
          <w:bCs/>
          <w:color w:val="000000"/>
          <w:kern w:val="0"/>
          <w:sz w:val="32"/>
          <w:szCs w:val="32"/>
        </w:rPr>
        <w:t>（</w:t>
      </w:r>
      <w:r>
        <w:rPr>
          <w:rFonts w:hint="default" w:ascii="Times New Roman" w:hAnsi="Times New Roman" w:eastAsia="仿宋" w:cs="Times New Roman"/>
          <w:b/>
          <w:bCs/>
          <w:color w:val="000000"/>
          <w:kern w:val="0"/>
          <w:sz w:val="32"/>
          <w:szCs w:val="32"/>
          <w:lang w:eastAsia="zh-CN"/>
        </w:rPr>
        <w:t>二</w:t>
      </w:r>
      <w:r>
        <w:rPr>
          <w:rFonts w:hint="default" w:ascii="Times New Roman" w:hAnsi="Times New Roman" w:eastAsia="仿宋" w:cs="Times New Roman"/>
          <w:b/>
          <w:bCs/>
          <w:color w:val="000000"/>
          <w:kern w:val="0"/>
          <w:sz w:val="32"/>
          <w:szCs w:val="32"/>
        </w:rPr>
        <w:t>）</w:t>
      </w:r>
      <w:r>
        <w:rPr>
          <w:rFonts w:hint="eastAsia" w:ascii="仿宋" w:hAnsi="仿宋" w:eastAsia="仿宋" w:cs="仿宋"/>
          <w:b/>
          <w:bCs/>
          <w:sz w:val="32"/>
          <w:szCs w:val="32"/>
          <w:highlight w:val="none"/>
        </w:rPr>
        <w:t>行政事业性国有资产管理举措及成效</w:t>
      </w:r>
    </w:p>
    <w:p w14:paraId="4330FE64">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default" w:ascii="Times New Roman" w:hAnsi="Times New Roman" w:eastAsia="仿宋" w:cs="Times New Roman"/>
          <w:color w:val="000000"/>
          <w:kern w:val="0"/>
          <w:sz w:val="32"/>
          <w:szCs w:val="32"/>
        </w:rPr>
      </w:pPr>
      <w:r>
        <w:rPr>
          <w:rFonts w:hint="eastAsia" w:ascii="Times New Roman" w:hAnsi="Times New Roman" w:eastAsia="仿宋" w:cs="Times New Roman"/>
          <w:b/>
          <w:bCs/>
          <w:color w:val="000000"/>
          <w:kern w:val="0"/>
          <w:sz w:val="32"/>
          <w:szCs w:val="32"/>
          <w:lang w:val="en-US" w:eastAsia="zh-CN"/>
        </w:rPr>
        <w:t>1.不断加强资产监管</w:t>
      </w:r>
      <w:r>
        <w:rPr>
          <w:rFonts w:hint="default" w:ascii="Times New Roman" w:hAnsi="Times New Roman" w:eastAsia="仿宋" w:cs="Times New Roman"/>
          <w:b/>
          <w:bCs/>
          <w:color w:val="000000"/>
          <w:kern w:val="0"/>
          <w:sz w:val="32"/>
          <w:szCs w:val="32"/>
        </w:rPr>
        <w:t>，</w:t>
      </w:r>
      <w:r>
        <w:rPr>
          <w:rFonts w:hint="eastAsia" w:ascii="Times New Roman" w:hAnsi="Times New Roman" w:eastAsia="仿宋" w:cs="Times New Roman"/>
          <w:b/>
          <w:bCs/>
          <w:color w:val="000000"/>
          <w:kern w:val="0"/>
          <w:sz w:val="32"/>
          <w:szCs w:val="32"/>
          <w:lang w:val="en-US" w:eastAsia="zh-CN"/>
        </w:rPr>
        <w:t>完善管理体系建设</w:t>
      </w:r>
      <w:r>
        <w:rPr>
          <w:rFonts w:hint="default" w:ascii="Times New Roman" w:hAnsi="Times New Roman" w:eastAsia="仿宋" w:cs="Times New Roman"/>
          <w:b/>
          <w:bCs/>
          <w:color w:val="000000"/>
          <w:kern w:val="0"/>
          <w:sz w:val="32"/>
          <w:szCs w:val="32"/>
        </w:rPr>
        <w:t>。</w:t>
      </w:r>
      <w:r>
        <w:rPr>
          <w:rFonts w:hint="default" w:ascii="Times New Roman" w:hAnsi="Times New Roman" w:eastAsia="仿宋" w:cs="Times New Roman"/>
          <w:color w:val="000000"/>
          <w:kern w:val="0"/>
          <w:sz w:val="32"/>
          <w:szCs w:val="32"/>
        </w:rPr>
        <w:t>构建涵盖资产配置、使用、处置等管理的资产全生命周期闭环制度框架，确保国有资产管理的规范性。重视管理体系构建，压实资产管理责任。建立“财政部门—主管部门—行政事业单位”资产管理体系，压实各部门资产管理责任，通过202</w:t>
      </w:r>
      <w:r>
        <w:rPr>
          <w:rFonts w:hint="eastAsia" w:ascii="Times New Roman" w:hAnsi="Times New Roman" w:eastAsia="仿宋" w:cs="Times New Roman"/>
          <w:color w:val="000000"/>
          <w:kern w:val="0"/>
          <w:sz w:val="32"/>
          <w:szCs w:val="32"/>
          <w:lang w:val="en-US" w:eastAsia="zh-CN"/>
        </w:rPr>
        <w:t>3</w:t>
      </w:r>
      <w:r>
        <w:rPr>
          <w:rFonts w:hint="default" w:ascii="Times New Roman" w:hAnsi="Times New Roman" w:eastAsia="仿宋" w:cs="Times New Roman"/>
          <w:color w:val="000000"/>
          <w:kern w:val="0"/>
          <w:sz w:val="32"/>
          <w:szCs w:val="32"/>
        </w:rPr>
        <w:t>年预算单位资产自查自纠，结合历年来审计反馈问题和巡查反馈问题的整改工作，提高行政事业单位资产管理水平。</w:t>
      </w:r>
    </w:p>
    <w:p w14:paraId="5694D3B3">
      <w:pPr>
        <w:keepNext w:val="0"/>
        <w:keepLines w:val="0"/>
        <w:pageBreakBefore w:val="0"/>
        <w:widowControl w:val="0"/>
        <w:kinsoku/>
        <w:wordWrap/>
        <w:overflowPunct/>
        <w:topLinePunct w:val="0"/>
        <w:autoSpaceDE/>
        <w:autoSpaceDN/>
        <w:bidi w:val="0"/>
        <w:adjustRightInd/>
        <w:snapToGrid/>
        <w:spacing w:line="640" w:lineRule="atLeast"/>
        <w:ind w:firstLine="643" w:firstLineChars="200"/>
        <w:jc w:val="both"/>
        <w:textAlignment w:val="auto"/>
        <w:rPr>
          <w:rFonts w:hint="eastAsia" w:ascii="Times New Roman" w:hAnsi="Times New Roman" w:eastAsia="仿宋" w:cs="Times New Roman"/>
          <w:color w:val="000000"/>
          <w:kern w:val="0"/>
          <w:sz w:val="32"/>
          <w:szCs w:val="32"/>
          <w:lang w:val="en-US" w:eastAsia="zh-CN"/>
        </w:rPr>
      </w:pPr>
      <w:r>
        <w:rPr>
          <w:rFonts w:hint="eastAsia" w:ascii="Times New Roman" w:hAnsi="Times New Roman" w:eastAsia="仿宋" w:cs="Times New Roman"/>
          <w:b/>
          <w:bCs/>
          <w:color w:val="000000"/>
          <w:kern w:val="0"/>
          <w:sz w:val="32"/>
          <w:szCs w:val="32"/>
          <w:lang w:val="en-US" w:eastAsia="zh-CN"/>
        </w:rPr>
        <w:t>2.全面摸清资产底数，筑牢资产管理基石。</w:t>
      </w:r>
      <w:r>
        <w:rPr>
          <w:rFonts w:hint="eastAsia" w:ascii="Times New Roman" w:hAnsi="Times New Roman" w:eastAsia="仿宋" w:cs="Times New Roman"/>
          <w:color w:val="000000"/>
          <w:kern w:val="0"/>
          <w:sz w:val="32"/>
          <w:szCs w:val="32"/>
          <w:lang w:val="en-US" w:eastAsia="zh-CN"/>
        </w:rPr>
        <w:t>2023年全面开展行政事业单位资产清查工作，制定《玉山县行政事业单位资产清查工作方案》，进一步摸清家底。根据县里工作安排，开展规范各类国有资产及清理保障性用房工作，通过部门单位自查、召开座谈会、实地抽查检查、设立举报箱等方式方法，对全县保障性住房、办公用房、经济适用住房进行了全方位、系统性的梳理。同时对2022年人大审议意见、审计反映问题进行认真整改及落实，联合冰溪街道（社区）及相关执法部门，加强协作配合，解决安置区房屋店铺被长期非法占用等问题，通过多次对接拆迁户，积极沟通疏导，宣讲法律法规和相关政策文件，急群众之所急，利用经营收益化解历史遗留问题，对于强拿硬要、占用公私财物且屡教不改者采取法律手段，动真碰硬，取得了良好成效。</w:t>
      </w:r>
    </w:p>
    <w:p w14:paraId="1A353383">
      <w:pPr>
        <w:keepNext w:val="0"/>
        <w:keepLines w:val="0"/>
        <w:pageBreakBefore w:val="0"/>
        <w:widowControl w:val="0"/>
        <w:kinsoku/>
        <w:wordWrap/>
        <w:overflowPunct/>
        <w:topLinePunct w:val="0"/>
        <w:autoSpaceDE/>
        <w:autoSpaceDN/>
        <w:bidi w:val="0"/>
        <w:adjustRightInd/>
        <w:snapToGrid/>
        <w:spacing w:line="640" w:lineRule="atLeast"/>
        <w:ind w:firstLine="643" w:firstLineChars="200"/>
        <w:jc w:val="both"/>
        <w:textAlignment w:val="auto"/>
        <w:rPr>
          <w:rFonts w:hint="default" w:ascii="Times New Roman" w:hAnsi="Times New Roman" w:eastAsia="仿宋" w:cs="Times New Roman"/>
          <w:color w:val="000000"/>
          <w:kern w:val="0"/>
          <w:sz w:val="32"/>
          <w:szCs w:val="32"/>
        </w:rPr>
      </w:pPr>
      <w:r>
        <w:rPr>
          <w:rFonts w:hint="eastAsia" w:ascii="Times New Roman" w:hAnsi="Times New Roman" w:eastAsia="仿宋" w:cs="Times New Roman"/>
          <w:b/>
          <w:bCs/>
          <w:color w:val="000000"/>
          <w:kern w:val="0"/>
          <w:sz w:val="32"/>
          <w:szCs w:val="32"/>
          <w:lang w:val="en-US" w:eastAsia="zh-CN"/>
        </w:rPr>
        <w:t>3.夯实资产基础数据，做好资产日常管理</w:t>
      </w:r>
      <w:r>
        <w:rPr>
          <w:rFonts w:hint="default" w:ascii="Times New Roman" w:hAnsi="Times New Roman" w:eastAsia="仿宋" w:cs="Times New Roman"/>
          <w:b/>
          <w:bCs/>
          <w:color w:val="000000"/>
          <w:kern w:val="0"/>
          <w:sz w:val="32"/>
          <w:szCs w:val="32"/>
        </w:rPr>
        <w:t>。</w:t>
      </w:r>
      <w:r>
        <w:rPr>
          <w:rFonts w:hint="default" w:ascii="Times New Roman" w:hAnsi="Times New Roman" w:eastAsia="仿宋" w:cs="Times New Roman"/>
          <w:color w:val="000000"/>
          <w:kern w:val="0"/>
          <w:sz w:val="32"/>
          <w:szCs w:val="32"/>
        </w:rPr>
        <w:t>强化部门协作，层层压实责任，</w:t>
      </w:r>
      <w:r>
        <w:rPr>
          <w:rFonts w:hint="eastAsia" w:ascii="Times New Roman" w:hAnsi="Times New Roman" w:eastAsia="仿宋" w:cs="Times New Roman"/>
          <w:color w:val="000000"/>
          <w:kern w:val="0"/>
          <w:sz w:val="32"/>
          <w:szCs w:val="32"/>
          <w:lang w:eastAsia="zh-CN"/>
        </w:rPr>
        <w:t>认真做好</w:t>
      </w:r>
      <w:r>
        <w:rPr>
          <w:rFonts w:hint="eastAsia" w:ascii="Times New Roman" w:hAnsi="Times New Roman" w:eastAsia="仿宋" w:cs="Times New Roman"/>
          <w:color w:val="000000"/>
          <w:kern w:val="0"/>
          <w:sz w:val="32"/>
          <w:szCs w:val="32"/>
          <w:lang w:val="en-US" w:eastAsia="zh-CN"/>
        </w:rPr>
        <w:t>全县行政事业单位资产年报、月报</w:t>
      </w:r>
      <w:r>
        <w:rPr>
          <w:rFonts w:hint="default" w:ascii="Times New Roman" w:hAnsi="Times New Roman" w:eastAsia="仿宋" w:cs="Times New Roman"/>
          <w:color w:val="000000"/>
          <w:kern w:val="0"/>
          <w:sz w:val="32"/>
          <w:szCs w:val="32"/>
        </w:rPr>
        <w:t>编报工作</w:t>
      </w:r>
      <w:r>
        <w:rPr>
          <w:rFonts w:hint="eastAsia" w:ascii="Times New Roman" w:hAnsi="Times New Roman" w:eastAsia="仿宋" w:cs="Times New Roman"/>
          <w:color w:val="000000"/>
          <w:kern w:val="0"/>
          <w:sz w:val="32"/>
          <w:szCs w:val="32"/>
          <w:lang w:eastAsia="zh-CN"/>
        </w:rPr>
        <w:t>，提高质量要求，严格报表审核，进一步确保国有资产数据的全面、准确</w:t>
      </w:r>
      <w:r>
        <w:rPr>
          <w:rFonts w:hint="default" w:ascii="Times New Roman" w:hAnsi="Times New Roman" w:eastAsia="仿宋" w:cs="Times New Roman"/>
          <w:color w:val="000000"/>
          <w:kern w:val="0"/>
          <w:sz w:val="32"/>
          <w:szCs w:val="32"/>
          <w:lang w:eastAsia="zh-CN"/>
        </w:rPr>
        <w:t>。</w:t>
      </w:r>
      <w:r>
        <w:rPr>
          <w:rFonts w:hint="eastAsia" w:ascii="Times New Roman" w:hAnsi="Times New Roman" w:eastAsia="仿宋" w:cs="Times New Roman"/>
          <w:color w:val="000000"/>
          <w:kern w:val="0"/>
          <w:sz w:val="32"/>
          <w:szCs w:val="32"/>
          <w:lang w:val="en-US" w:eastAsia="zh-CN"/>
        </w:rPr>
        <w:t>做好</w:t>
      </w:r>
      <w:r>
        <w:rPr>
          <w:rFonts w:hint="default" w:ascii="Times New Roman" w:hAnsi="Times New Roman" w:eastAsia="仿宋" w:cs="Times New Roman"/>
          <w:color w:val="000000"/>
          <w:kern w:val="0"/>
          <w:sz w:val="32"/>
          <w:szCs w:val="32"/>
          <w:lang w:eastAsia="zh-CN"/>
        </w:rPr>
        <w:t>资产管理信息系统对接预算一体化</w:t>
      </w:r>
      <w:r>
        <w:rPr>
          <w:rFonts w:hint="eastAsia" w:ascii="Times New Roman" w:hAnsi="Times New Roman" w:eastAsia="仿宋" w:cs="Times New Roman"/>
          <w:color w:val="000000"/>
          <w:kern w:val="0"/>
          <w:sz w:val="32"/>
          <w:szCs w:val="32"/>
          <w:lang w:val="en-US" w:eastAsia="zh-CN"/>
        </w:rPr>
        <w:t>工作</w:t>
      </w:r>
      <w:r>
        <w:rPr>
          <w:rFonts w:hint="eastAsia" w:ascii="Times New Roman" w:hAnsi="Times New Roman" w:eastAsia="仿宋" w:cs="Times New Roman"/>
          <w:color w:val="000000"/>
          <w:kern w:val="0"/>
          <w:sz w:val="32"/>
          <w:szCs w:val="32"/>
          <w:lang w:eastAsia="zh-CN"/>
        </w:rPr>
        <w:t>，</w:t>
      </w:r>
      <w:r>
        <w:rPr>
          <w:rFonts w:hint="default" w:ascii="Times New Roman" w:hAnsi="Times New Roman" w:eastAsia="仿宋" w:cs="Times New Roman"/>
          <w:color w:val="000000"/>
          <w:kern w:val="0"/>
          <w:sz w:val="32"/>
          <w:szCs w:val="32"/>
          <w:lang w:eastAsia="zh-CN"/>
        </w:rPr>
        <w:t>深入研究资产管理中存在的难点痛点，梳理业务流程、控制规则和数据标准，统一信息核对口径，实现资产账与财务账“数出一源”。</w:t>
      </w:r>
    </w:p>
    <w:p w14:paraId="463E2434">
      <w:pPr>
        <w:keepNext w:val="0"/>
        <w:keepLines w:val="0"/>
        <w:pageBreakBefore w:val="0"/>
        <w:widowControl w:val="0"/>
        <w:kinsoku/>
        <w:wordWrap/>
        <w:overflowPunct/>
        <w:topLinePunct w:val="0"/>
        <w:autoSpaceDE/>
        <w:autoSpaceDN/>
        <w:bidi w:val="0"/>
        <w:adjustRightInd/>
        <w:snapToGrid/>
        <w:spacing w:line="640" w:lineRule="atLeast"/>
        <w:ind w:firstLine="643" w:firstLineChars="200"/>
        <w:jc w:val="both"/>
        <w:textAlignment w:val="auto"/>
        <w:rPr>
          <w:rFonts w:hint="eastAsia" w:ascii="Times New Roman" w:hAnsi="Times New Roman" w:eastAsia="仿宋" w:cs="Times New Roman"/>
          <w:color w:val="000000"/>
          <w:kern w:val="0"/>
          <w:sz w:val="32"/>
          <w:szCs w:val="32"/>
          <w:lang w:val="en-US" w:eastAsia="zh-CN"/>
        </w:rPr>
      </w:pPr>
      <w:r>
        <w:rPr>
          <w:rFonts w:hint="eastAsia" w:ascii="Times New Roman" w:hAnsi="Times New Roman" w:eastAsia="仿宋" w:cs="Times New Roman"/>
          <w:b/>
          <w:bCs/>
          <w:color w:val="000000"/>
          <w:kern w:val="0"/>
          <w:sz w:val="32"/>
          <w:szCs w:val="32"/>
          <w:lang w:val="en-US" w:eastAsia="zh-CN"/>
        </w:rPr>
        <w:t>4.强化资产管理考核，抓好绩效管理工作</w:t>
      </w:r>
      <w:r>
        <w:rPr>
          <w:rFonts w:hint="default" w:ascii="Times New Roman" w:hAnsi="Times New Roman" w:eastAsia="仿宋" w:cs="Times New Roman"/>
          <w:b/>
          <w:bCs/>
          <w:color w:val="000000"/>
          <w:kern w:val="0"/>
          <w:sz w:val="32"/>
          <w:szCs w:val="32"/>
        </w:rPr>
        <w:t>。</w:t>
      </w:r>
      <w:r>
        <w:rPr>
          <w:rFonts w:hint="default" w:ascii="Times New Roman" w:hAnsi="Times New Roman" w:eastAsia="仿宋" w:cs="Times New Roman"/>
          <w:color w:val="000000"/>
          <w:kern w:val="0"/>
          <w:sz w:val="32"/>
          <w:szCs w:val="32"/>
        </w:rPr>
        <w:t>加快推进资产管理融入预算管理一体化，建立健全预算资金形成资产的全链条管理机制。</w:t>
      </w:r>
      <w:r>
        <w:rPr>
          <w:rFonts w:hint="eastAsia" w:ascii="Times New Roman" w:hAnsi="Times New Roman" w:eastAsia="仿宋" w:cs="Times New Roman"/>
          <w:color w:val="000000"/>
          <w:kern w:val="0"/>
          <w:sz w:val="32"/>
          <w:szCs w:val="32"/>
          <w:lang w:val="en-US" w:eastAsia="zh-CN"/>
        </w:rPr>
        <w:t>严格落实省、市资产绩效考核要求，</w:t>
      </w:r>
      <w:r>
        <w:rPr>
          <w:rFonts w:hint="default" w:ascii="Times New Roman" w:hAnsi="Times New Roman" w:eastAsia="仿宋" w:cs="Times New Roman"/>
          <w:color w:val="000000"/>
          <w:kern w:val="0"/>
          <w:sz w:val="32"/>
          <w:szCs w:val="32"/>
        </w:rPr>
        <w:t>全面实施预算绩效管理，将行政事业单位国有资产管理情况纳入预算管理绩效考核范围统筹推进。</w:t>
      </w:r>
      <w:r>
        <w:rPr>
          <w:rFonts w:hint="eastAsia" w:ascii="Times New Roman" w:hAnsi="Times New Roman" w:eastAsia="仿宋" w:cs="Times New Roman"/>
          <w:color w:val="000000"/>
          <w:kern w:val="0"/>
          <w:sz w:val="32"/>
          <w:szCs w:val="32"/>
          <w:lang w:val="en-US" w:eastAsia="zh-CN"/>
        </w:rPr>
        <w:t>在2023年度设区市财政管理绩效考核中，我县资产管理方面绩效考核位列全省第一方阵，在上饶市资产管理绩效考核中名列前茅。</w:t>
      </w:r>
    </w:p>
    <w:p w14:paraId="7498B3A7">
      <w:pPr>
        <w:keepNext w:val="0"/>
        <w:keepLines w:val="0"/>
        <w:pageBreakBefore w:val="0"/>
        <w:widowControl w:val="0"/>
        <w:kinsoku/>
        <w:wordWrap/>
        <w:overflowPunct/>
        <w:topLinePunct w:val="0"/>
        <w:autoSpaceDE/>
        <w:autoSpaceDN/>
        <w:bidi w:val="0"/>
        <w:adjustRightInd/>
        <w:snapToGrid/>
        <w:spacing w:line="640" w:lineRule="atLeast"/>
        <w:ind w:firstLine="643" w:firstLineChars="200"/>
        <w:jc w:val="both"/>
        <w:textAlignment w:val="auto"/>
        <w:rPr>
          <w:rFonts w:hint="default" w:ascii="Times New Roman" w:hAnsi="Times New Roman" w:eastAsia="仿宋" w:cs="Times New Roman"/>
          <w:color w:val="000000"/>
          <w:kern w:val="0"/>
          <w:sz w:val="32"/>
          <w:szCs w:val="32"/>
          <w:lang w:val="en-US" w:eastAsia="zh-CN"/>
        </w:rPr>
      </w:pPr>
      <w:r>
        <w:rPr>
          <w:rFonts w:hint="eastAsia" w:ascii="Times New Roman" w:hAnsi="Times New Roman" w:eastAsia="仿宋" w:cs="Times New Roman"/>
          <w:b/>
          <w:bCs/>
          <w:color w:val="000000"/>
          <w:kern w:val="0"/>
          <w:sz w:val="32"/>
          <w:szCs w:val="32"/>
          <w:lang w:val="en-US" w:eastAsia="zh-CN"/>
        </w:rPr>
        <w:t>5.严把资产</w:t>
      </w:r>
      <w:r>
        <w:rPr>
          <w:rFonts w:hint="eastAsia" w:ascii="Times New Roman" w:hAnsi="Times New Roman" w:eastAsia="仿宋" w:cs="Times New Roman"/>
          <w:b/>
          <w:bCs/>
          <w:color w:val="000000"/>
          <w:kern w:val="0"/>
          <w:sz w:val="32"/>
          <w:szCs w:val="32"/>
          <w:lang w:eastAsia="zh-CN"/>
        </w:rPr>
        <w:t>处置</w:t>
      </w:r>
      <w:r>
        <w:rPr>
          <w:rFonts w:hint="default" w:ascii="Times New Roman" w:hAnsi="Times New Roman" w:eastAsia="仿宋" w:cs="Times New Roman"/>
          <w:b/>
          <w:bCs/>
          <w:color w:val="000000"/>
          <w:kern w:val="0"/>
          <w:sz w:val="32"/>
          <w:szCs w:val="32"/>
        </w:rPr>
        <w:t>程序</w:t>
      </w:r>
      <w:r>
        <w:rPr>
          <w:rFonts w:hint="default" w:ascii="Times New Roman" w:hAnsi="Times New Roman" w:eastAsia="仿宋" w:cs="Times New Roman"/>
          <w:b/>
          <w:bCs/>
          <w:color w:val="000000"/>
          <w:kern w:val="0"/>
          <w:sz w:val="32"/>
          <w:szCs w:val="32"/>
          <w:lang w:eastAsia="zh-CN"/>
        </w:rPr>
        <w:t>，</w:t>
      </w:r>
      <w:r>
        <w:rPr>
          <w:rFonts w:hint="eastAsia" w:ascii="Times New Roman" w:hAnsi="Times New Roman" w:eastAsia="仿宋" w:cs="Times New Roman"/>
          <w:b/>
          <w:bCs/>
          <w:color w:val="000000"/>
          <w:kern w:val="0"/>
          <w:sz w:val="32"/>
          <w:szCs w:val="32"/>
          <w:lang w:eastAsia="zh-CN"/>
        </w:rPr>
        <w:t>防止国有资产流失</w:t>
      </w:r>
      <w:r>
        <w:rPr>
          <w:rFonts w:hint="default" w:ascii="Times New Roman" w:hAnsi="Times New Roman" w:eastAsia="仿宋" w:cs="Times New Roman"/>
          <w:b/>
          <w:bCs/>
          <w:color w:val="000000"/>
          <w:kern w:val="0"/>
          <w:sz w:val="32"/>
          <w:szCs w:val="32"/>
        </w:rPr>
        <w:t>。</w:t>
      </w:r>
      <w:r>
        <w:rPr>
          <w:rFonts w:hint="default" w:ascii="Times New Roman" w:hAnsi="Times New Roman" w:eastAsia="仿宋" w:cs="Times New Roman"/>
          <w:color w:val="000000"/>
          <w:kern w:val="0"/>
          <w:sz w:val="32"/>
          <w:szCs w:val="32"/>
        </w:rPr>
        <w:t>严格执行国有资产处置制度，严格履行审批手续，规范处置行为，防止国有资产流失。日常处置国有资产按照规定程序进行资产评估，</w:t>
      </w:r>
      <w:r>
        <w:rPr>
          <w:rFonts w:hint="default" w:ascii="Times New Roman" w:hAnsi="Times New Roman" w:eastAsia="仿宋" w:cs="Times New Roman"/>
          <w:color w:val="000000"/>
          <w:kern w:val="0"/>
          <w:sz w:val="32"/>
          <w:szCs w:val="32"/>
          <w:lang w:eastAsia="zh-CN"/>
        </w:rPr>
        <w:t>资产转让、出售</w:t>
      </w:r>
      <w:r>
        <w:rPr>
          <w:rFonts w:hint="default" w:ascii="Times New Roman" w:hAnsi="Times New Roman" w:eastAsia="仿宋" w:cs="Times New Roman"/>
          <w:color w:val="000000"/>
          <w:kern w:val="0"/>
          <w:sz w:val="32"/>
          <w:szCs w:val="32"/>
        </w:rPr>
        <w:t>并通过拍卖、招投标等公开进场交易方式处置，杜绝暗箱操作</w:t>
      </w:r>
      <w:r>
        <w:rPr>
          <w:rFonts w:hint="default" w:ascii="Times New Roman" w:hAnsi="Times New Roman" w:eastAsia="仿宋" w:cs="Times New Roman"/>
          <w:color w:val="000000"/>
          <w:kern w:val="0"/>
          <w:sz w:val="32"/>
          <w:szCs w:val="32"/>
          <w:lang w:eastAsia="zh-CN"/>
        </w:rPr>
        <w:t>，防止国有资产流失</w:t>
      </w:r>
      <w:r>
        <w:rPr>
          <w:rFonts w:hint="default" w:ascii="Times New Roman" w:hAnsi="Times New Roman" w:eastAsia="仿宋" w:cs="Times New Roman"/>
          <w:color w:val="000000"/>
          <w:kern w:val="0"/>
          <w:sz w:val="32"/>
          <w:szCs w:val="32"/>
        </w:rPr>
        <w:t>。</w:t>
      </w:r>
      <w:r>
        <w:rPr>
          <w:rFonts w:hint="default" w:ascii="Times New Roman" w:hAnsi="Times New Roman" w:eastAsia="仿宋" w:cs="Times New Roman"/>
          <w:color w:val="000000"/>
          <w:kern w:val="0"/>
          <w:sz w:val="32"/>
          <w:szCs w:val="32"/>
          <w:lang w:eastAsia="zh-CN"/>
        </w:rPr>
        <w:t>截止2023年12月31日，全县国有资产拍租拍卖进场交易16宗，成交标的价值合计13251.07万元。</w:t>
      </w:r>
    </w:p>
    <w:p w14:paraId="37D82F91">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default" w:ascii="Times New Roman" w:hAnsi="Times New Roman" w:eastAsia="仿宋" w:cs="Times New Roman"/>
          <w:color w:val="000000"/>
          <w:kern w:val="0"/>
          <w:sz w:val="32"/>
          <w:szCs w:val="32"/>
          <w:lang w:eastAsia="zh-CN"/>
        </w:rPr>
      </w:pPr>
      <w:r>
        <w:rPr>
          <w:rFonts w:hint="eastAsia" w:ascii="Times New Roman" w:hAnsi="Times New Roman" w:eastAsia="仿宋" w:cs="Times New Roman"/>
          <w:b/>
          <w:bCs/>
          <w:color w:val="000000"/>
          <w:kern w:val="0"/>
          <w:sz w:val="32"/>
          <w:szCs w:val="32"/>
          <w:lang w:val="en-US" w:eastAsia="zh-CN"/>
        </w:rPr>
        <w:t>6.推动资产盘活整合，提高资产使用效益</w:t>
      </w:r>
      <w:r>
        <w:rPr>
          <w:rFonts w:hint="default" w:ascii="Times New Roman" w:hAnsi="Times New Roman" w:eastAsia="仿宋" w:cs="Times New Roman"/>
          <w:b/>
          <w:bCs/>
          <w:color w:val="000000"/>
          <w:kern w:val="0"/>
          <w:sz w:val="32"/>
          <w:szCs w:val="32"/>
        </w:rPr>
        <w:t>。</w:t>
      </w:r>
      <w:r>
        <w:rPr>
          <w:rFonts w:hint="default" w:ascii="Times New Roman" w:hAnsi="Times New Roman" w:eastAsia="仿宋" w:cs="Times New Roman"/>
          <w:color w:val="000000"/>
          <w:kern w:val="0"/>
          <w:sz w:val="32"/>
          <w:szCs w:val="32"/>
        </w:rPr>
        <w:t>组织开展行政事业单位</w:t>
      </w:r>
      <w:r>
        <w:rPr>
          <w:rFonts w:hint="eastAsia" w:ascii="Times New Roman" w:hAnsi="Times New Roman" w:eastAsia="仿宋" w:cs="Times New Roman"/>
          <w:color w:val="000000"/>
          <w:kern w:val="0"/>
          <w:sz w:val="32"/>
          <w:szCs w:val="32"/>
          <w:lang w:val="en-US" w:eastAsia="zh-CN"/>
        </w:rPr>
        <w:t>国有</w:t>
      </w:r>
      <w:r>
        <w:rPr>
          <w:rFonts w:hint="default" w:ascii="Times New Roman" w:hAnsi="Times New Roman" w:eastAsia="仿宋" w:cs="Times New Roman"/>
          <w:color w:val="000000"/>
          <w:kern w:val="0"/>
          <w:sz w:val="32"/>
          <w:szCs w:val="32"/>
        </w:rPr>
        <w:t>资产盘活</w:t>
      </w:r>
      <w:r>
        <w:rPr>
          <w:rFonts w:hint="eastAsia" w:ascii="Times New Roman" w:hAnsi="Times New Roman" w:eastAsia="仿宋" w:cs="Times New Roman"/>
          <w:color w:val="000000"/>
          <w:kern w:val="0"/>
          <w:sz w:val="32"/>
          <w:szCs w:val="32"/>
          <w:lang w:val="en-US" w:eastAsia="zh-CN"/>
        </w:rPr>
        <w:t>工作</w:t>
      </w:r>
      <w:r>
        <w:rPr>
          <w:rFonts w:hint="default" w:ascii="Times New Roman" w:hAnsi="Times New Roman" w:eastAsia="仿宋" w:cs="Times New Roman"/>
          <w:color w:val="000000"/>
          <w:kern w:val="0"/>
          <w:sz w:val="32"/>
          <w:szCs w:val="32"/>
        </w:rPr>
        <w:t>，制定《玉山县盘活行政事业单位国有资产实施方案》</w:t>
      </w:r>
      <w:r>
        <w:rPr>
          <w:rFonts w:hint="eastAsia" w:ascii="Times New Roman" w:hAnsi="Times New Roman" w:eastAsia="仿宋" w:cs="Times New Roman"/>
          <w:color w:val="000000"/>
          <w:kern w:val="0"/>
          <w:sz w:val="32"/>
          <w:szCs w:val="32"/>
          <w:lang w:eastAsia="zh-CN"/>
        </w:rPr>
        <w:t>。一是</w:t>
      </w:r>
      <w:r>
        <w:rPr>
          <w:rFonts w:hint="eastAsia" w:ascii="Times New Roman" w:hAnsi="Times New Roman" w:eastAsia="仿宋" w:cs="Times New Roman"/>
          <w:color w:val="000000"/>
          <w:kern w:val="0"/>
          <w:sz w:val="32"/>
          <w:szCs w:val="32"/>
          <w:lang w:val="en-US" w:eastAsia="zh-CN"/>
        </w:rPr>
        <w:t>将行政事业单位资产清查结果中低效运转、闲置的房屋、土地、大型仪器等资产纳入盘活范围，推动低效闲置资产盘活利用</w:t>
      </w:r>
      <w:r>
        <w:rPr>
          <w:rFonts w:hint="default" w:ascii="Times New Roman" w:hAnsi="Times New Roman" w:eastAsia="仿宋" w:cs="Times New Roman"/>
          <w:color w:val="000000"/>
          <w:kern w:val="0"/>
          <w:sz w:val="32"/>
          <w:szCs w:val="32"/>
        </w:rPr>
        <w:t>。截至2023年底，我县可盘活变现行政事业单位资产为闲置房屋住宅1633.6㎡，以市场化处置方式进行盘活变现，变现金额718万元。</w:t>
      </w:r>
      <w:r>
        <w:rPr>
          <w:rFonts w:hint="eastAsia" w:ascii="Times New Roman" w:hAnsi="Times New Roman" w:eastAsia="仿宋" w:cs="Times New Roman"/>
          <w:color w:val="000000"/>
          <w:kern w:val="0"/>
          <w:sz w:val="32"/>
          <w:szCs w:val="32"/>
          <w:lang w:eastAsia="zh-CN"/>
        </w:rPr>
        <w:t>二是通过资产盘活调剂使用，</w:t>
      </w:r>
      <w:r>
        <w:rPr>
          <w:rFonts w:hint="default" w:ascii="Times New Roman" w:hAnsi="Times New Roman" w:eastAsia="仿宋" w:cs="Times New Roman"/>
          <w:color w:val="000000"/>
          <w:kern w:val="0"/>
          <w:sz w:val="32"/>
          <w:szCs w:val="32"/>
        </w:rPr>
        <w:t>坚持过紧日子的思想，节约财政资金，充分发挥资产使用</w:t>
      </w:r>
      <w:r>
        <w:rPr>
          <w:rFonts w:hint="eastAsia" w:ascii="Times New Roman" w:hAnsi="Times New Roman" w:eastAsia="仿宋" w:cs="Times New Roman"/>
          <w:color w:val="000000"/>
          <w:kern w:val="0"/>
          <w:sz w:val="32"/>
          <w:szCs w:val="32"/>
          <w:lang w:val="en-US" w:eastAsia="zh-CN"/>
        </w:rPr>
        <w:t>效益，如去年</w:t>
      </w:r>
      <w:r>
        <w:rPr>
          <w:rFonts w:hint="default" w:ascii="Times New Roman" w:hAnsi="Times New Roman" w:eastAsia="仿宋" w:cs="Times New Roman"/>
          <w:color w:val="000000"/>
          <w:kern w:val="0"/>
          <w:sz w:val="32"/>
          <w:szCs w:val="32"/>
        </w:rPr>
        <w:t>推动玉山县黄家驷医院(人民医院)和玉山县中医院签订科研仪器设备共享共用协议，完成8件重要医疗科研仪器设备的共享共用，优化医疗资源的调配利用，迈出探索医疗卫生行业资产共享共用机制的第一步。</w:t>
      </w:r>
    </w:p>
    <w:p w14:paraId="4D13F69D">
      <w:pPr>
        <w:keepNext w:val="0"/>
        <w:keepLines w:val="0"/>
        <w:pageBreakBefore w:val="0"/>
        <w:widowControl w:val="0"/>
        <w:kinsoku/>
        <w:wordWrap/>
        <w:overflowPunct/>
        <w:topLinePunct w:val="0"/>
        <w:autoSpaceDE/>
        <w:autoSpaceDN/>
        <w:bidi w:val="0"/>
        <w:adjustRightInd/>
        <w:snapToGrid/>
        <w:spacing w:line="640" w:lineRule="atLeast"/>
        <w:ind w:firstLine="643" w:firstLineChars="200"/>
        <w:jc w:val="both"/>
        <w:textAlignment w:val="auto"/>
        <w:rPr>
          <w:rFonts w:hint="default" w:ascii="Times New Roman" w:hAnsi="Times New Roman" w:eastAsia="仿宋" w:cs="Times New Roman"/>
          <w:color w:val="000000"/>
          <w:kern w:val="0"/>
          <w:sz w:val="32"/>
          <w:szCs w:val="32"/>
          <w:lang w:eastAsia="zh-CN"/>
        </w:rPr>
      </w:pPr>
      <w:r>
        <w:rPr>
          <w:rFonts w:hint="default" w:ascii="Times New Roman" w:hAnsi="Times New Roman" w:eastAsia="仿宋" w:cs="Times New Roman"/>
          <w:b/>
          <w:bCs/>
          <w:color w:val="000000"/>
          <w:kern w:val="0"/>
          <w:sz w:val="32"/>
          <w:szCs w:val="32"/>
        </w:rPr>
        <w:t>（</w:t>
      </w:r>
      <w:r>
        <w:rPr>
          <w:rFonts w:hint="eastAsia" w:ascii="Times New Roman" w:hAnsi="Times New Roman" w:eastAsia="仿宋" w:cs="Times New Roman"/>
          <w:b/>
          <w:bCs/>
          <w:color w:val="000000"/>
          <w:kern w:val="0"/>
          <w:sz w:val="32"/>
          <w:szCs w:val="32"/>
          <w:lang w:val="en-US" w:eastAsia="zh-CN"/>
        </w:rPr>
        <w:t>三</w:t>
      </w:r>
      <w:r>
        <w:rPr>
          <w:rFonts w:hint="default" w:ascii="Times New Roman" w:hAnsi="Times New Roman" w:eastAsia="仿宋" w:cs="Times New Roman"/>
          <w:b/>
          <w:bCs/>
          <w:color w:val="000000"/>
          <w:kern w:val="0"/>
          <w:sz w:val="32"/>
          <w:szCs w:val="32"/>
          <w:lang w:eastAsia="zh-CN"/>
        </w:rPr>
        <w:t>）推进落实国有资产管理过程中存在</w:t>
      </w:r>
      <w:r>
        <w:rPr>
          <w:rFonts w:hint="eastAsia" w:ascii="Times New Roman" w:hAnsi="Times New Roman" w:eastAsia="仿宋" w:cs="Times New Roman"/>
          <w:b/>
          <w:bCs/>
          <w:color w:val="000000"/>
          <w:kern w:val="0"/>
          <w:sz w:val="32"/>
          <w:szCs w:val="32"/>
          <w:lang w:eastAsia="zh-CN"/>
        </w:rPr>
        <w:t>的</w:t>
      </w:r>
      <w:r>
        <w:rPr>
          <w:rFonts w:hint="default" w:ascii="Times New Roman" w:hAnsi="Times New Roman" w:eastAsia="仿宋" w:cs="Times New Roman"/>
          <w:b/>
          <w:bCs/>
          <w:color w:val="000000"/>
          <w:kern w:val="0"/>
          <w:sz w:val="32"/>
          <w:szCs w:val="32"/>
          <w:lang w:eastAsia="zh-CN"/>
        </w:rPr>
        <w:t>问题</w:t>
      </w:r>
    </w:p>
    <w:p w14:paraId="71D27E20">
      <w:pPr>
        <w:keepNext w:val="0"/>
        <w:keepLines w:val="0"/>
        <w:pageBreakBefore w:val="0"/>
        <w:widowControl w:val="0"/>
        <w:kinsoku/>
        <w:wordWrap/>
        <w:overflowPunct/>
        <w:topLinePunct w:val="0"/>
        <w:autoSpaceDE/>
        <w:autoSpaceDN/>
        <w:bidi w:val="0"/>
        <w:adjustRightInd/>
        <w:snapToGrid/>
        <w:spacing w:line="640" w:lineRule="atLeast"/>
        <w:ind w:firstLine="643" w:firstLineChars="200"/>
        <w:jc w:val="both"/>
        <w:textAlignment w:val="auto"/>
        <w:rPr>
          <w:rFonts w:hint="default" w:ascii="Times New Roman" w:hAnsi="Times New Roman" w:eastAsia="仿宋" w:cs="Times New Roman"/>
          <w:color w:val="000000"/>
          <w:kern w:val="0"/>
          <w:sz w:val="32"/>
          <w:szCs w:val="32"/>
          <w:lang w:eastAsia="zh-CN"/>
        </w:rPr>
      </w:pPr>
      <w:r>
        <w:rPr>
          <w:rFonts w:hint="eastAsia" w:ascii="Times New Roman" w:hAnsi="Times New Roman" w:eastAsia="仿宋" w:cs="Times New Roman"/>
          <w:b/>
          <w:bCs/>
          <w:color w:val="000000"/>
          <w:kern w:val="0"/>
          <w:sz w:val="32"/>
          <w:szCs w:val="32"/>
          <w:lang w:val="en-US" w:eastAsia="zh-CN"/>
        </w:rPr>
        <w:t>1.</w:t>
      </w:r>
      <w:r>
        <w:rPr>
          <w:rFonts w:hint="default" w:ascii="Times New Roman" w:hAnsi="Times New Roman" w:eastAsia="仿宋" w:cs="Times New Roman"/>
          <w:b/>
          <w:bCs/>
          <w:color w:val="000000"/>
          <w:kern w:val="0"/>
          <w:sz w:val="32"/>
          <w:szCs w:val="32"/>
          <w:lang w:eastAsia="zh-CN"/>
        </w:rPr>
        <w:t>部分单位资产管理意识淡薄</w:t>
      </w:r>
      <w:r>
        <w:rPr>
          <w:rFonts w:hint="eastAsia" w:ascii="Times New Roman" w:hAnsi="Times New Roman" w:eastAsia="仿宋" w:cs="Times New Roman"/>
          <w:b/>
          <w:bCs/>
          <w:color w:val="000000"/>
          <w:kern w:val="0"/>
          <w:sz w:val="32"/>
          <w:szCs w:val="32"/>
          <w:lang w:eastAsia="zh-CN"/>
        </w:rPr>
        <w:t>。</w:t>
      </w:r>
      <w:r>
        <w:rPr>
          <w:rFonts w:hint="default" w:ascii="Times New Roman" w:hAnsi="Times New Roman" w:eastAsia="仿宋" w:cs="Times New Roman"/>
          <w:color w:val="000000"/>
          <w:kern w:val="0"/>
          <w:sz w:val="32"/>
          <w:szCs w:val="32"/>
          <w:lang w:eastAsia="zh-CN"/>
        </w:rPr>
        <w:t>从资产清查反映,有的单位部分固定资产未建立固定资产台账或卡片,日常资产管理工作与账务管理脱节,存在已经损坏或报废的固定资产未及时审报核销情况</w:t>
      </w:r>
      <w:r>
        <w:rPr>
          <w:rFonts w:hint="eastAsia" w:ascii="Times New Roman" w:hAnsi="Times New Roman" w:eastAsia="仿宋" w:cs="Times New Roman"/>
          <w:color w:val="000000"/>
          <w:kern w:val="0"/>
          <w:sz w:val="32"/>
          <w:szCs w:val="32"/>
          <w:lang w:eastAsia="zh-CN"/>
        </w:rPr>
        <w:t>，</w:t>
      </w:r>
      <w:r>
        <w:rPr>
          <w:rFonts w:hint="eastAsia" w:ascii="Times New Roman" w:hAnsi="Times New Roman" w:eastAsia="仿宋" w:cs="Times New Roman"/>
          <w:color w:val="000000"/>
          <w:kern w:val="0"/>
          <w:sz w:val="32"/>
          <w:szCs w:val="32"/>
          <w:lang w:val="en-US" w:eastAsia="zh-CN"/>
        </w:rPr>
        <w:t>导致</w:t>
      </w:r>
      <w:r>
        <w:rPr>
          <w:rFonts w:hint="default" w:ascii="Times New Roman" w:hAnsi="Times New Roman" w:eastAsia="仿宋" w:cs="Times New Roman"/>
          <w:color w:val="000000"/>
          <w:kern w:val="0"/>
          <w:sz w:val="32"/>
          <w:szCs w:val="32"/>
          <w:lang w:eastAsia="zh-CN"/>
        </w:rPr>
        <w:t>有物无账,账卡不符,账账不符,账实不符，需逐步梳理，完善资产信息卡片建设。</w:t>
      </w:r>
    </w:p>
    <w:p w14:paraId="784B8BDC">
      <w:pPr>
        <w:keepNext w:val="0"/>
        <w:keepLines w:val="0"/>
        <w:pageBreakBefore w:val="0"/>
        <w:widowControl w:val="0"/>
        <w:kinsoku/>
        <w:wordWrap/>
        <w:overflowPunct/>
        <w:topLinePunct w:val="0"/>
        <w:autoSpaceDE/>
        <w:autoSpaceDN/>
        <w:bidi w:val="0"/>
        <w:adjustRightInd/>
        <w:snapToGrid/>
        <w:spacing w:line="640" w:lineRule="atLeast"/>
        <w:ind w:firstLine="643" w:firstLineChars="200"/>
        <w:jc w:val="both"/>
        <w:textAlignment w:val="auto"/>
        <w:rPr>
          <w:rFonts w:hint="eastAsia" w:ascii="Times New Roman" w:hAnsi="Times New Roman" w:eastAsia="仿宋" w:cs="Times New Roman"/>
          <w:color w:val="000000"/>
          <w:kern w:val="0"/>
          <w:sz w:val="32"/>
          <w:szCs w:val="32"/>
          <w:lang w:val="en-US" w:eastAsia="zh-CN"/>
        </w:rPr>
      </w:pPr>
      <w:r>
        <w:rPr>
          <w:rFonts w:hint="eastAsia" w:ascii="Times New Roman" w:hAnsi="Times New Roman" w:eastAsia="仿宋" w:cs="Times New Roman"/>
          <w:b/>
          <w:bCs/>
          <w:color w:val="000000"/>
          <w:kern w:val="0"/>
          <w:sz w:val="32"/>
          <w:szCs w:val="32"/>
          <w:lang w:val="en-US" w:eastAsia="zh-CN"/>
        </w:rPr>
        <w:t>2.资产管理人员配备不足。</w:t>
      </w:r>
      <w:r>
        <w:rPr>
          <w:rFonts w:hint="eastAsia" w:ascii="Times New Roman" w:hAnsi="Times New Roman" w:eastAsia="仿宋" w:cs="Times New Roman"/>
          <w:color w:val="000000"/>
          <w:kern w:val="0"/>
          <w:sz w:val="32"/>
          <w:szCs w:val="32"/>
          <w:lang w:val="en-US" w:eastAsia="zh-CN"/>
        </w:rPr>
        <w:t>随着国有资产管理的日益规范，部门单位对资产管理虽有所重视，但行动上落实难，突出表现在资产管理未有效落实专人管理，部分单位资产管理由其他工作人员兼任，由于兼任人员缺乏财务和资产管理基础知识，加上人员轮换更迭频繁，业务交接和职责落实不到位，资产管理的有效监督存在缺失，不利于新形势下资产管理工作的开展，应将资产管理专岗列入议事日程，充实力量，提高素质，加强资产管理干部队伍建设。</w:t>
      </w:r>
    </w:p>
    <w:p w14:paraId="5B76B426">
      <w:pPr>
        <w:keepNext w:val="0"/>
        <w:keepLines w:val="0"/>
        <w:pageBreakBefore w:val="0"/>
        <w:widowControl w:val="0"/>
        <w:kinsoku/>
        <w:wordWrap/>
        <w:overflowPunct/>
        <w:topLinePunct w:val="0"/>
        <w:autoSpaceDE/>
        <w:autoSpaceDN/>
        <w:bidi w:val="0"/>
        <w:adjustRightInd/>
        <w:snapToGrid/>
        <w:spacing w:line="640" w:lineRule="atLeast"/>
        <w:ind w:firstLine="643" w:firstLineChars="200"/>
        <w:jc w:val="both"/>
        <w:textAlignment w:val="auto"/>
        <w:rPr>
          <w:rFonts w:hint="eastAsia" w:ascii="Times New Roman" w:hAnsi="Times New Roman" w:eastAsia="仿宋" w:cs="Times New Roman"/>
          <w:color w:val="000000"/>
          <w:kern w:val="0"/>
          <w:sz w:val="32"/>
          <w:szCs w:val="32"/>
          <w:lang w:val="en-US" w:eastAsia="zh-CN"/>
        </w:rPr>
      </w:pPr>
      <w:r>
        <w:rPr>
          <w:rFonts w:hint="eastAsia" w:ascii="Times New Roman" w:hAnsi="Times New Roman" w:eastAsia="仿宋" w:cs="Times New Roman"/>
          <w:b/>
          <w:bCs/>
          <w:color w:val="000000"/>
          <w:kern w:val="0"/>
          <w:sz w:val="32"/>
          <w:szCs w:val="32"/>
          <w:lang w:val="en-US" w:eastAsia="zh-CN"/>
        </w:rPr>
        <w:t>3.公共基础设施管理不够规范。</w:t>
      </w:r>
      <w:r>
        <w:rPr>
          <w:rFonts w:hint="eastAsia" w:ascii="Times New Roman" w:hAnsi="Times New Roman" w:eastAsia="仿宋" w:cs="Times New Roman"/>
          <w:color w:val="000000"/>
          <w:kern w:val="0"/>
          <w:sz w:val="32"/>
          <w:szCs w:val="32"/>
          <w:lang w:val="en-US" w:eastAsia="zh-CN"/>
        </w:rPr>
        <w:t>存在管理维护与会计核算主体不一致，部分公共基础设施未入账，市政基础设施等公共基础设施资产入账不够规范，行业数据与资产信息系统数据不匹配，部分单位对固定资产和公共基础设施概念和范围理解不够到位，应按“固定资产管理”的列入“其他公共基础设施”。</w:t>
      </w:r>
    </w:p>
    <w:p w14:paraId="3C8A1346">
      <w:pPr>
        <w:pStyle w:val="2"/>
        <w:keepNext w:val="0"/>
        <w:keepLines w:val="0"/>
        <w:pageBreakBefore w:val="0"/>
        <w:widowControl w:val="0"/>
        <w:numPr>
          <w:ilvl w:val="0"/>
          <w:numId w:val="0"/>
        </w:numPr>
        <w:kinsoku/>
        <w:wordWrap/>
        <w:overflowPunct/>
        <w:topLinePunct w:val="0"/>
        <w:autoSpaceDN/>
        <w:bidi w:val="0"/>
        <w:spacing w:line="560" w:lineRule="exact"/>
        <w:ind w:firstLine="643" w:firstLineChars="200"/>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四</w:t>
      </w: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rPr>
        <w:t>行政事业性国有资产管理下一步打算</w:t>
      </w:r>
    </w:p>
    <w:p w14:paraId="583F8ECA">
      <w:pPr>
        <w:pStyle w:val="2"/>
        <w:keepNext w:val="0"/>
        <w:keepLines w:val="0"/>
        <w:pageBreakBefore w:val="0"/>
        <w:widowControl w:val="0"/>
        <w:numPr>
          <w:ilvl w:val="0"/>
          <w:numId w:val="0"/>
        </w:numPr>
        <w:kinsoku/>
        <w:wordWrap/>
        <w:overflowPunct/>
        <w:topLinePunct w:val="0"/>
        <w:autoSpaceDN/>
        <w:bidi w:val="0"/>
        <w:spacing w:line="560" w:lineRule="exact"/>
        <w:ind w:firstLine="643" w:firstLineChars="200"/>
        <w:textAlignment w:val="auto"/>
        <w:rPr>
          <w:rFonts w:hint="default" w:ascii="仿宋" w:hAnsi="仿宋" w:eastAsia="仿宋" w:cs="仿宋"/>
          <w:b w:val="0"/>
          <w:bCs w:val="0"/>
          <w:sz w:val="32"/>
          <w:szCs w:val="32"/>
          <w:highlight w:val="none"/>
          <w:lang w:val="en-US"/>
        </w:rPr>
      </w:pPr>
      <w:r>
        <w:rPr>
          <w:rFonts w:hint="eastAsia" w:ascii="仿宋" w:hAnsi="仿宋" w:eastAsia="仿宋" w:cs="仿宋"/>
          <w:b/>
          <w:bCs/>
          <w:sz w:val="32"/>
          <w:szCs w:val="32"/>
          <w:highlight w:val="none"/>
          <w:lang w:val="en-US" w:eastAsia="zh-CN"/>
        </w:rPr>
        <w:t>1.完善制度</w:t>
      </w: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进一步规范国有资产管理</w:t>
      </w:r>
      <w:r>
        <w:rPr>
          <w:rFonts w:hint="eastAsia" w:ascii="仿宋" w:hAnsi="仿宋" w:eastAsia="仿宋" w:cs="仿宋"/>
          <w:b/>
          <w:bCs/>
          <w:sz w:val="32"/>
          <w:szCs w:val="32"/>
          <w:highlight w:val="none"/>
        </w:rPr>
        <w:t>。</w:t>
      </w:r>
      <w:r>
        <w:rPr>
          <w:rFonts w:hint="eastAsia" w:ascii="仿宋" w:hAnsi="仿宋" w:eastAsia="仿宋" w:cs="仿宋"/>
          <w:b w:val="0"/>
          <w:bCs w:val="0"/>
          <w:sz w:val="32"/>
          <w:szCs w:val="32"/>
          <w:highlight w:val="none"/>
          <w:lang w:val="en-US" w:eastAsia="zh-CN"/>
        </w:rPr>
        <w:t>依据</w:t>
      </w:r>
      <w:r>
        <w:rPr>
          <w:rFonts w:hint="default" w:ascii="仿宋_GB2312" w:hAnsi="仿宋_GB2312" w:eastAsia="仿宋_GB2312" w:cs="仿宋_GB2312"/>
          <w:sz w:val="32"/>
          <w:szCs w:val="32"/>
          <w:lang w:eastAsia="zh-CN"/>
        </w:rPr>
        <w:t>《行政事业性国有资产管理条例》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参考省、市资产管理办法，结合我县实际，修订完善涵盖资产配置、使用、处置等各个环节的管理办法及相关制度，资产配置预算审批程序前置，下放资产处置限额权限，加强和规范专项资产的管理，推进共享共用制度建设</w:t>
      </w:r>
      <w:r>
        <w:rPr>
          <w:rFonts w:hint="eastAsia" w:ascii="仿宋_GB2312" w:hAnsi="仿宋_GB2312" w:eastAsia="仿宋_GB2312" w:cs="仿宋_GB2312"/>
          <w:sz w:val="32"/>
          <w:szCs w:val="32"/>
          <w:lang w:eastAsia="zh-CN"/>
        </w:rPr>
        <w:t>。探索县级行政事业单位资产公物仓、共享共用等机制建设。</w:t>
      </w:r>
    </w:p>
    <w:p w14:paraId="7F3C3C00">
      <w:pPr>
        <w:pStyle w:val="2"/>
        <w:keepNext w:val="0"/>
        <w:keepLines w:val="0"/>
        <w:pageBreakBefore w:val="0"/>
        <w:widowControl w:val="0"/>
        <w:numPr>
          <w:ilvl w:val="0"/>
          <w:numId w:val="0"/>
        </w:numPr>
        <w:kinsoku/>
        <w:wordWrap/>
        <w:overflowPunct/>
        <w:topLinePunct w:val="0"/>
        <w:autoSpaceDN/>
        <w:bidi w:val="0"/>
        <w:spacing w:line="560" w:lineRule="exact"/>
        <w:ind w:firstLine="643" w:firstLineChars="200"/>
        <w:textAlignment w:val="auto"/>
        <w:rPr>
          <w:rFonts w:hint="eastAsia" w:ascii="仿宋" w:hAnsi="仿宋" w:eastAsia="仿宋" w:cs="仿宋"/>
          <w:b w:val="0"/>
          <w:bCs w:val="0"/>
          <w:sz w:val="32"/>
          <w:szCs w:val="32"/>
          <w:highlight w:val="none"/>
        </w:rPr>
      </w:pPr>
      <w:r>
        <w:rPr>
          <w:rFonts w:hint="eastAsia" w:ascii="仿宋" w:hAnsi="仿宋" w:eastAsia="仿宋" w:cs="仿宋"/>
          <w:b/>
          <w:bCs/>
          <w:sz w:val="32"/>
          <w:szCs w:val="32"/>
          <w:highlight w:val="none"/>
          <w:lang w:val="en-US" w:eastAsia="zh-CN"/>
        </w:rPr>
        <w:t>2.</w:t>
      </w:r>
      <w:r>
        <w:rPr>
          <w:rFonts w:hint="eastAsia" w:ascii="仿宋" w:hAnsi="仿宋" w:eastAsia="仿宋" w:cs="仿宋"/>
          <w:b/>
          <w:bCs/>
          <w:sz w:val="32"/>
          <w:szCs w:val="32"/>
          <w:highlight w:val="none"/>
        </w:rPr>
        <w:t>夯实基础，</w:t>
      </w:r>
      <w:r>
        <w:rPr>
          <w:rFonts w:hint="eastAsia" w:ascii="仿宋" w:hAnsi="仿宋" w:eastAsia="仿宋" w:cs="仿宋"/>
          <w:b/>
          <w:bCs/>
          <w:sz w:val="32"/>
          <w:szCs w:val="32"/>
          <w:highlight w:val="none"/>
          <w:lang w:val="en-US" w:eastAsia="zh-CN"/>
        </w:rPr>
        <w:t>进一步</w:t>
      </w:r>
      <w:r>
        <w:rPr>
          <w:rFonts w:hint="eastAsia" w:ascii="仿宋" w:hAnsi="仿宋" w:eastAsia="仿宋" w:cs="仿宋"/>
          <w:b/>
          <w:bCs/>
          <w:sz w:val="32"/>
          <w:szCs w:val="32"/>
          <w:highlight w:val="none"/>
        </w:rPr>
        <w:t>提升资产管理水平。</w:t>
      </w:r>
      <w:r>
        <w:rPr>
          <w:rFonts w:hint="eastAsia" w:ascii="仿宋" w:hAnsi="仿宋" w:eastAsia="仿宋" w:cs="仿宋"/>
          <w:b w:val="0"/>
          <w:bCs w:val="0"/>
          <w:sz w:val="32"/>
          <w:szCs w:val="32"/>
          <w:highlight w:val="none"/>
        </w:rPr>
        <w:t>将</w:t>
      </w:r>
      <w:r>
        <w:rPr>
          <w:rFonts w:hint="eastAsia" w:ascii="仿宋" w:hAnsi="仿宋" w:eastAsia="仿宋" w:cs="仿宋"/>
          <w:b w:val="0"/>
          <w:bCs w:val="0"/>
          <w:sz w:val="32"/>
          <w:szCs w:val="32"/>
          <w:highlight w:val="none"/>
          <w:lang w:val="en-US" w:eastAsia="zh-CN"/>
        </w:rPr>
        <w:t>加强预算一体化系统资产模块数据治理作为重点工作，完善我县资产管理信息卡片要素、资产分类等基础信息，加强资产管理与监督，做好固定资产卡片新增、补录、变更、作废等基础治理工作，着重解决有账无物、账外资产、账实不符等情况，保障国有资产的安全完整，做到账实相符、帐帐相符、帐卡相符。同时，落实政府过好紧日子的要求，将</w:t>
      </w:r>
      <w:r>
        <w:rPr>
          <w:rFonts w:hint="eastAsia" w:ascii="仿宋" w:hAnsi="仿宋" w:eastAsia="仿宋" w:cs="仿宋"/>
          <w:b w:val="0"/>
          <w:bCs w:val="0"/>
          <w:sz w:val="32"/>
          <w:szCs w:val="32"/>
          <w:highlight w:val="none"/>
        </w:rPr>
        <w:t>新增配置资产纳入预算，要求单位填报《单位年度新增资产配置计划控制数表》和《新增资产配置预算表》，守好审批环节，严把资产配置端口。</w:t>
      </w:r>
    </w:p>
    <w:p w14:paraId="2A4082D7">
      <w:pPr>
        <w:pStyle w:val="2"/>
        <w:keepNext w:val="0"/>
        <w:keepLines w:val="0"/>
        <w:pageBreakBefore w:val="0"/>
        <w:widowControl w:val="0"/>
        <w:numPr>
          <w:ilvl w:val="0"/>
          <w:numId w:val="0"/>
        </w:numPr>
        <w:kinsoku/>
        <w:wordWrap/>
        <w:overflowPunct/>
        <w:topLinePunct w:val="0"/>
        <w:autoSpaceDN/>
        <w:bidi w:val="0"/>
        <w:spacing w:line="560" w:lineRule="exact"/>
        <w:ind w:firstLine="643" w:firstLineChars="200"/>
        <w:textAlignment w:val="auto"/>
        <w:rPr>
          <w:rFonts w:hint="eastAsia" w:ascii="仿宋" w:hAnsi="仿宋" w:eastAsia="仿宋" w:cs="仿宋"/>
          <w:b w:val="0"/>
          <w:bCs w:val="0"/>
          <w:sz w:val="32"/>
          <w:szCs w:val="32"/>
          <w:highlight w:val="none"/>
        </w:rPr>
      </w:pPr>
      <w:r>
        <w:rPr>
          <w:rFonts w:hint="eastAsia" w:ascii="仿宋" w:hAnsi="仿宋" w:eastAsia="仿宋" w:cs="仿宋"/>
          <w:b/>
          <w:bCs/>
          <w:sz w:val="32"/>
          <w:szCs w:val="32"/>
          <w:highlight w:val="none"/>
          <w:lang w:val="en-US" w:eastAsia="zh-CN"/>
        </w:rPr>
        <w:t>3.盘活存量，进一步优化资产盘活方案</w:t>
      </w:r>
      <w:r>
        <w:rPr>
          <w:rFonts w:hint="eastAsia" w:ascii="仿宋" w:hAnsi="仿宋" w:eastAsia="仿宋" w:cs="仿宋"/>
          <w:b/>
          <w:bCs/>
          <w:sz w:val="32"/>
          <w:szCs w:val="32"/>
          <w:highlight w:val="none"/>
        </w:rPr>
        <w:t>。</w:t>
      </w:r>
      <w:r>
        <w:rPr>
          <w:rFonts w:hint="eastAsia" w:ascii="仿宋" w:hAnsi="仿宋" w:eastAsia="仿宋" w:cs="仿宋"/>
          <w:b w:val="0"/>
          <w:bCs w:val="0"/>
          <w:sz w:val="32"/>
          <w:szCs w:val="32"/>
          <w:highlight w:val="none"/>
          <w:lang w:eastAsia="zh-CN"/>
        </w:rPr>
        <w:t>在</w:t>
      </w:r>
      <w:r>
        <w:rPr>
          <w:rFonts w:hint="eastAsia" w:ascii="仿宋" w:hAnsi="仿宋" w:eastAsia="仿宋" w:cs="仿宋"/>
          <w:b w:val="0"/>
          <w:bCs w:val="0"/>
          <w:sz w:val="32"/>
          <w:szCs w:val="32"/>
          <w:highlight w:val="none"/>
          <w:lang w:val="en-US" w:eastAsia="zh-CN"/>
        </w:rPr>
        <w:t>全面资产清查的基础上，深度挖掘资产潜在价值，对长期闲置但具有较大开发利用价值的老旧房屋、大型仪器和闲置土地等资产，根据实际情况，灵活采取不同方式进行盘活。对产权不明晰的资产，依法依规理顺产权关系，完成产权界定，加快办理相关产权登记。县财政局加强监督检查，确保资产盘活合法合规、收入管理规范有序。</w:t>
      </w:r>
    </w:p>
    <w:p w14:paraId="4AFDE774">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eastAsia" w:ascii="黑体" w:hAnsi="黑体" w:eastAsia="黑体" w:cs="黑体"/>
          <w:b/>
          <w:bCs/>
          <w:color w:val="000000" w:themeColor="text1"/>
          <w:kern w:val="0"/>
          <w:sz w:val="32"/>
          <w:szCs w:val="32"/>
          <w:shd w:val="clear" w:color="auto" w:fill="auto"/>
          <w14:textFill>
            <w14:solidFill>
              <w14:schemeClr w14:val="tx1"/>
            </w14:solidFill>
          </w14:textFill>
        </w:rPr>
      </w:pPr>
      <w:r>
        <w:rPr>
          <w:rFonts w:hint="eastAsia" w:ascii="黑体" w:hAnsi="黑体" w:eastAsia="黑体" w:cs="黑体"/>
          <w:b/>
          <w:bCs/>
          <w:color w:val="000000" w:themeColor="text1"/>
          <w:kern w:val="0"/>
          <w:sz w:val="32"/>
          <w:szCs w:val="32"/>
          <w:shd w:val="clear" w:color="auto" w:fill="auto"/>
          <w:lang w:val="en-US" w:eastAsia="zh-CN"/>
          <w14:textFill>
            <w14:solidFill>
              <w14:schemeClr w14:val="tx1"/>
            </w14:solidFill>
          </w14:textFill>
        </w:rPr>
        <w:t>二、关于我县</w:t>
      </w:r>
      <w:r>
        <w:rPr>
          <w:rFonts w:hint="eastAsia" w:ascii="黑体" w:hAnsi="黑体" w:eastAsia="黑体" w:cs="黑体"/>
          <w:b/>
          <w:bCs/>
          <w:color w:val="000000" w:themeColor="text1"/>
          <w:kern w:val="0"/>
          <w:sz w:val="32"/>
          <w:szCs w:val="32"/>
          <w:shd w:val="clear" w:color="auto" w:fill="auto"/>
          <w14:textFill>
            <w14:solidFill>
              <w14:schemeClr w14:val="tx1"/>
            </w14:solidFill>
          </w14:textFill>
        </w:rPr>
        <w:t>企业（不含金融企业）国有资产</w:t>
      </w:r>
      <w:r>
        <w:rPr>
          <w:rFonts w:hint="eastAsia" w:ascii="黑体" w:hAnsi="黑体" w:eastAsia="黑体" w:cs="黑体"/>
          <w:b/>
          <w:bCs/>
          <w:color w:val="000000" w:themeColor="text1"/>
          <w:kern w:val="0"/>
          <w:sz w:val="32"/>
          <w:szCs w:val="32"/>
          <w:shd w:val="clear" w:color="auto" w:fill="auto"/>
          <w:lang w:eastAsia="zh-CN"/>
          <w14:textFill>
            <w14:solidFill>
              <w14:schemeClr w14:val="tx1"/>
            </w14:solidFill>
          </w14:textFill>
        </w:rPr>
        <w:t>管理</w:t>
      </w:r>
      <w:r>
        <w:rPr>
          <w:rFonts w:hint="eastAsia" w:ascii="黑体" w:hAnsi="黑体" w:eastAsia="黑体" w:cs="黑体"/>
          <w:b/>
          <w:bCs/>
          <w:color w:val="000000" w:themeColor="text1"/>
          <w:kern w:val="0"/>
          <w:sz w:val="32"/>
          <w:szCs w:val="32"/>
          <w:shd w:val="clear" w:color="auto" w:fill="auto"/>
          <w14:textFill>
            <w14:solidFill>
              <w14:schemeClr w14:val="tx1"/>
            </w14:solidFill>
          </w14:textFill>
        </w:rPr>
        <w:t>情况</w:t>
      </w:r>
    </w:p>
    <w:p w14:paraId="7C46E117">
      <w:pPr>
        <w:pStyle w:val="2"/>
        <w:keepNext w:val="0"/>
        <w:keepLines w:val="0"/>
        <w:pageBreakBefore w:val="0"/>
        <w:widowControl w:val="0"/>
        <w:numPr>
          <w:ilvl w:val="0"/>
          <w:numId w:val="0"/>
        </w:numPr>
        <w:kinsoku/>
        <w:wordWrap/>
        <w:overflowPunct/>
        <w:topLinePunct w:val="0"/>
        <w:autoSpaceDN/>
        <w:bidi w:val="0"/>
        <w:spacing w:line="560" w:lineRule="exact"/>
        <w:ind w:firstLine="643" w:firstLineChars="200"/>
        <w:textAlignment w:val="auto"/>
        <w:rPr>
          <w:rFonts w:hint="default" w:ascii="Times New Roman" w:hAnsi="Times New Roman" w:eastAsia="仿宋" w:cs="Times New Roman"/>
          <w:color w:val="000000" w:themeColor="text1"/>
          <w:kern w:val="0"/>
          <w:sz w:val="32"/>
          <w:szCs w:val="32"/>
          <w:shd w:val="clear" w:color="auto" w:fill="auto"/>
          <w14:textFill>
            <w14:solidFill>
              <w14:schemeClr w14:val="tx1"/>
            </w14:solidFill>
          </w14:textFill>
        </w:rPr>
      </w:pPr>
      <w:r>
        <w:rPr>
          <w:rFonts w:hint="eastAsia" w:ascii="仿宋" w:hAnsi="仿宋" w:eastAsia="仿宋" w:cs="仿宋"/>
          <w:b/>
          <w:bCs/>
          <w:color w:val="000000" w:themeColor="text1"/>
          <w:sz w:val="32"/>
          <w:szCs w:val="32"/>
          <w:shd w:val="clear" w:color="auto" w:fill="auto"/>
          <w:lang w:val="en-US" w:eastAsia="zh-CN"/>
          <w14:textFill>
            <w14:solidFill>
              <w14:schemeClr w14:val="tx1"/>
            </w14:solidFill>
          </w14:textFill>
        </w:rPr>
        <w:t>（一）</w:t>
      </w:r>
      <w:r>
        <w:rPr>
          <w:rFonts w:hint="eastAsia" w:ascii="仿宋" w:hAnsi="仿宋" w:eastAsia="仿宋" w:cs="仿宋"/>
          <w:b/>
          <w:bCs/>
          <w:color w:val="000000" w:themeColor="text1"/>
          <w:sz w:val="32"/>
          <w:szCs w:val="32"/>
          <w:shd w:val="clear" w:color="auto" w:fill="auto"/>
          <w14:textFill>
            <w14:solidFill>
              <w14:schemeClr w14:val="tx1"/>
            </w14:solidFill>
          </w14:textFill>
        </w:rPr>
        <w:t>企业国有资产基本情况</w:t>
      </w:r>
    </w:p>
    <w:p w14:paraId="4DCD9E0B">
      <w:pPr>
        <w:keepNext w:val="0"/>
        <w:keepLines w:val="0"/>
        <w:pageBreakBefore w:val="0"/>
        <w:widowControl w:val="0"/>
        <w:kinsoku/>
        <w:wordWrap/>
        <w:overflowPunct/>
        <w:topLinePunct w:val="0"/>
        <w:autoSpaceDE/>
        <w:autoSpaceDN/>
        <w:bidi w:val="0"/>
        <w:adjustRightInd/>
        <w:snapToGrid/>
        <w:spacing w:line="640" w:lineRule="atLeast"/>
        <w:ind w:left="0" w:leftChars="0" w:firstLine="640" w:firstLineChars="200"/>
        <w:jc w:val="both"/>
        <w:textAlignment w:val="auto"/>
        <w:rPr>
          <w:rFonts w:hint="default" w:ascii="Times New Roman" w:hAnsi="Times New Roman" w:eastAsia="仿宋" w:cs="Times New Roman"/>
          <w:color w:val="000000" w:themeColor="text1"/>
          <w:kern w:val="0"/>
          <w:sz w:val="32"/>
          <w:szCs w:val="32"/>
          <w:shd w:val="clear" w:color="auto" w:fill="auto"/>
          <w14:textFill>
            <w14:solidFill>
              <w14:schemeClr w14:val="tx1"/>
            </w14:solidFill>
          </w14:textFill>
        </w:rPr>
      </w:pPr>
      <w:r>
        <w:rPr>
          <w:rFonts w:hint="default" w:ascii="Times New Roman" w:hAnsi="Times New Roman" w:eastAsia="仿宋" w:cs="Times New Roman"/>
          <w:color w:val="000000" w:themeColor="text1"/>
          <w:kern w:val="0"/>
          <w:sz w:val="32"/>
          <w:szCs w:val="32"/>
          <w:shd w:val="clear" w:color="auto" w:fill="auto"/>
          <w14:textFill>
            <w14:solidFill>
              <w14:schemeClr w14:val="tx1"/>
            </w14:solidFill>
          </w14:textFill>
        </w:rPr>
        <w:t>1</w:t>
      </w:r>
      <w:r>
        <w:rPr>
          <w:rFonts w:hint="default"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w:t>
      </w:r>
      <w:r>
        <w:rPr>
          <w:rFonts w:hint="default" w:ascii="Times New Roman" w:hAnsi="Times New Roman" w:eastAsia="仿宋" w:cs="Times New Roman"/>
          <w:color w:val="000000" w:themeColor="text1"/>
          <w:kern w:val="0"/>
          <w:sz w:val="32"/>
          <w:szCs w:val="32"/>
          <w:highlight w:val="none"/>
          <w:shd w:val="clear" w:color="auto" w:fill="auto"/>
          <w:lang w:val="en-US" w:eastAsia="zh-CN"/>
          <w14:textFill>
            <w14:solidFill>
              <w14:schemeClr w14:val="tx1"/>
            </w14:solidFill>
          </w14:textFill>
        </w:rPr>
        <w:t>截止</w:t>
      </w:r>
      <w:r>
        <w:rPr>
          <w:rFonts w:hint="default" w:ascii="Times New Roman" w:hAnsi="Times New Roman" w:eastAsia="仿宋" w:cs="Times New Roman"/>
          <w:color w:val="000000" w:themeColor="text1"/>
          <w:kern w:val="0"/>
          <w:sz w:val="32"/>
          <w:szCs w:val="32"/>
          <w:highlight w:val="none"/>
          <w:shd w:val="clear" w:color="auto" w:fill="auto"/>
          <w14:textFill>
            <w14:solidFill>
              <w14:schemeClr w14:val="tx1"/>
            </w14:solidFill>
          </w14:textFill>
        </w:rPr>
        <w:t>20</w:t>
      </w:r>
      <w:r>
        <w:rPr>
          <w:rFonts w:hint="default" w:ascii="Times New Roman" w:hAnsi="Times New Roman" w:eastAsia="仿宋" w:cs="Times New Roman"/>
          <w:color w:val="000000" w:themeColor="text1"/>
          <w:kern w:val="0"/>
          <w:sz w:val="32"/>
          <w:szCs w:val="32"/>
          <w:highlight w:val="none"/>
          <w:shd w:val="clear" w:color="auto" w:fill="auto"/>
          <w:lang w:val="en-US" w:eastAsia="zh-CN"/>
          <w14:textFill>
            <w14:solidFill>
              <w14:schemeClr w14:val="tx1"/>
            </w14:solidFill>
          </w14:textFill>
        </w:rPr>
        <w:t>2</w:t>
      </w:r>
      <w:r>
        <w:rPr>
          <w:rFonts w:hint="eastAsia" w:ascii="Times New Roman" w:hAnsi="Times New Roman" w:eastAsia="仿宋" w:cs="Times New Roman"/>
          <w:color w:val="000000" w:themeColor="text1"/>
          <w:kern w:val="0"/>
          <w:sz w:val="32"/>
          <w:szCs w:val="32"/>
          <w:highlight w:val="none"/>
          <w:shd w:val="clear" w:color="auto" w:fill="auto"/>
          <w:lang w:val="en-US" w:eastAsia="zh-CN"/>
          <w14:textFill>
            <w14:solidFill>
              <w14:schemeClr w14:val="tx1"/>
            </w14:solidFill>
          </w14:textFill>
        </w:rPr>
        <w:t>3</w:t>
      </w:r>
      <w:r>
        <w:rPr>
          <w:rFonts w:hint="default" w:ascii="Times New Roman" w:hAnsi="Times New Roman" w:eastAsia="仿宋" w:cs="Times New Roman"/>
          <w:color w:val="000000" w:themeColor="text1"/>
          <w:kern w:val="0"/>
          <w:sz w:val="32"/>
          <w:szCs w:val="32"/>
          <w:highlight w:val="none"/>
          <w:shd w:val="clear" w:color="auto" w:fill="auto"/>
          <w14:textFill>
            <w14:solidFill>
              <w14:schemeClr w14:val="tx1"/>
            </w14:solidFill>
          </w14:textFill>
        </w:rPr>
        <w:t>年</w:t>
      </w:r>
      <w:r>
        <w:rPr>
          <w:rFonts w:hint="default" w:ascii="Times New Roman" w:hAnsi="Times New Roman" w:eastAsia="仿宋" w:cs="Times New Roman"/>
          <w:color w:val="000000" w:themeColor="text1"/>
          <w:kern w:val="0"/>
          <w:sz w:val="32"/>
          <w:szCs w:val="32"/>
          <w:highlight w:val="none"/>
          <w:shd w:val="clear" w:color="auto" w:fill="auto"/>
          <w:lang w:val="en-US" w:eastAsia="zh-CN"/>
          <w14:textFill>
            <w14:solidFill>
              <w14:schemeClr w14:val="tx1"/>
            </w14:solidFill>
          </w14:textFill>
        </w:rPr>
        <w:t>12月31日</w:t>
      </w:r>
      <w:r>
        <w:rPr>
          <w:rFonts w:hint="default" w:ascii="Times New Roman" w:hAnsi="Times New Roman" w:eastAsia="仿宋" w:cs="Times New Roman"/>
          <w:color w:val="000000" w:themeColor="text1"/>
          <w:kern w:val="0"/>
          <w:sz w:val="32"/>
          <w:szCs w:val="32"/>
          <w:highlight w:val="none"/>
          <w:shd w:val="clear" w:color="auto" w:fill="auto"/>
          <w14:textFill>
            <w14:solidFill>
              <w14:schemeClr w14:val="tx1"/>
            </w14:solidFill>
          </w14:textFill>
        </w:rPr>
        <w:t>，县本级国有企业</w:t>
      </w:r>
      <w:r>
        <w:rPr>
          <w:rFonts w:hint="eastAsia" w:ascii="Times New Roman" w:hAnsi="Times New Roman" w:eastAsia="仿宋" w:cs="Times New Roman"/>
          <w:color w:val="000000" w:themeColor="text1"/>
          <w:kern w:val="0"/>
          <w:sz w:val="32"/>
          <w:szCs w:val="32"/>
          <w:highlight w:val="none"/>
          <w:shd w:val="clear" w:color="auto" w:fill="auto"/>
          <w:lang w:val="en-US" w:eastAsia="zh-CN"/>
          <w14:textFill>
            <w14:solidFill>
              <w14:schemeClr w14:val="tx1"/>
            </w14:solidFill>
          </w14:textFill>
        </w:rPr>
        <w:t>8</w:t>
      </w:r>
      <w:r>
        <w:rPr>
          <w:rFonts w:hint="default" w:ascii="Times New Roman" w:hAnsi="Times New Roman" w:eastAsia="仿宋" w:cs="Times New Roman"/>
          <w:color w:val="000000" w:themeColor="text1"/>
          <w:kern w:val="0"/>
          <w:sz w:val="32"/>
          <w:szCs w:val="32"/>
          <w:highlight w:val="none"/>
          <w:shd w:val="clear" w:color="auto" w:fill="auto"/>
          <w:lang w:eastAsia="zh-CN"/>
          <w14:textFill>
            <w14:solidFill>
              <w14:schemeClr w14:val="tx1"/>
            </w14:solidFill>
          </w14:textFill>
        </w:rPr>
        <w:t>家</w:t>
      </w:r>
      <w:r>
        <w:rPr>
          <w:rFonts w:hint="default" w:ascii="Times New Roman" w:hAnsi="Times New Roman" w:eastAsia="仿宋" w:cs="Times New Roman"/>
          <w:color w:val="000000" w:themeColor="text1"/>
          <w:kern w:val="0"/>
          <w:sz w:val="32"/>
          <w:szCs w:val="32"/>
          <w:highlight w:val="none"/>
          <w:shd w:val="clear" w:color="auto" w:fill="auto"/>
          <w14:textFill>
            <w14:solidFill>
              <w14:schemeClr w14:val="tx1"/>
            </w14:solidFill>
          </w14:textFill>
        </w:rPr>
        <w:t>，资产总额</w:t>
      </w:r>
      <w:r>
        <w:rPr>
          <w:rFonts w:hint="eastAsia" w:ascii="Times New Roman" w:hAnsi="Times New Roman" w:eastAsia="仿宋" w:cs="Times New Roman"/>
          <w:color w:val="000000" w:themeColor="text1"/>
          <w:kern w:val="0"/>
          <w:sz w:val="32"/>
          <w:szCs w:val="32"/>
          <w:highlight w:val="none"/>
          <w:u w:val="none"/>
          <w:shd w:val="clear" w:color="auto" w:fill="auto"/>
          <w:lang w:val="en-US" w:eastAsia="zh-CN"/>
          <w14:textFill>
            <w14:solidFill>
              <w14:schemeClr w14:val="tx1"/>
            </w14:solidFill>
          </w14:textFill>
        </w:rPr>
        <w:t>574.81</w:t>
      </w:r>
      <w:r>
        <w:rPr>
          <w:rFonts w:hint="default" w:ascii="Times New Roman" w:hAnsi="Times New Roman" w:eastAsia="仿宋" w:cs="Times New Roman"/>
          <w:color w:val="000000" w:themeColor="text1"/>
          <w:kern w:val="0"/>
          <w:sz w:val="32"/>
          <w:szCs w:val="32"/>
          <w:highlight w:val="none"/>
          <w:shd w:val="clear" w:color="auto" w:fill="auto"/>
          <w14:textFill>
            <w14:solidFill>
              <w14:schemeClr w14:val="tx1"/>
            </w14:solidFill>
          </w14:textFill>
        </w:rPr>
        <w:t>亿元，负债总额</w:t>
      </w:r>
      <w:r>
        <w:rPr>
          <w:rFonts w:hint="eastAsia" w:ascii="Times New Roman" w:hAnsi="Times New Roman" w:eastAsia="仿宋" w:cs="Times New Roman"/>
          <w:color w:val="000000" w:themeColor="text1"/>
          <w:kern w:val="0"/>
          <w:sz w:val="32"/>
          <w:szCs w:val="32"/>
          <w:highlight w:val="none"/>
          <w:u w:val="none"/>
          <w:shd w:val="clear" w:color="auto" w:fill="auto"/>
          <w:lang w:val="en-US" w:eastAsia="zh-CN"/>
          <w14:textFill>
            <w14:solidFill>
              <w14:schemeClr w14:val="tx1"/>
            </w14:solidFill>
          </w14:textFill>
        </w:rPr>
        <w:t>285</w:t>
      </w:r>
      <w:r>
        <w:rPr>
          <w:rFonts w:hint="default" w:ascii="Times New Roman" w:hAnsi="Times New Roman" w:eastAsia="仿宋" w:cs="Times New Roman"/>
          <w:color w:val="000000" w:themeColor="text1"/>
          <w:kern w:val="0"/>
          <w:sz w:val="32"/>
          <w:szCs w:val="32"/>
          <w:highlight w:val="none"/>
          <w:shd w:val="clear" w:color="auto" w:fill="auto"/>
          <w14:textFill>
            <w14:solidFill>
              <w14:schemeClr w14:val="tx1"/>
            </w14:solidFill>
          </w14:textFill>
        </w:rPr>
        <w:t>亿元，资产负债率</w:t>
      </w:r>
      <w:r>
        <w:rPr>
          <w:rFonts w:hint="default" w:ascii="Times New Roman" w:hAnsi="Times New Roman" w:eastAsia="仿宋" w:cs="Times New Roman"/>
          <w:color w:val="000000" w:themeColor="text1"/>
          <w:kern w:val="0"/>
          <w:sz w:val="32"/>
          <w:szCs w:val="32"/>
          <w:highlight w:val="none"/>
          <w:u w:val="none"/>
          <w:shd w:val="clear" w:color="auto" w:fill="auto"/>
          <w:lang w:val="en-US" w:eastAsia="zh-CN"/>
          <w14:textFill>
            <w14:solidFill>
              <w14:schemeClr w14:val="tx1"/>
            </w14:solidFill>
          </w14:textFill>
        </w:rPr>
        <w:t>4</w:t>
      </w:r>
      <w:r>
        <w:rPr>
          <w:rFonts w:hint="eastAsia" w:ascii="Times New Roman" w:hAnsi="Times New Roman" w:eastAsia="仿宋" w:cs="Times New Roman"/>
          <w:color w:val="000000" w:themeColor="text1"/>
          <w:kern w:val="0"/>
          <w:sz w:val="32"/>
          <w:szCs w:val="32"/>
          <w:highlight w:val="none"/>
          <w:u w:val="none"/>
          <w:shd w:val="clear" w:color="auto" w:fill="auto"/>
          <w:lang w:val="en-US" w:eastAsia="zh-CN"/>
          <w14:textFill>
            <w14:solidFill>
              <w14:schemeClr w14:val="tx1"/>
            </w14:solidFill>
          </w14:textFill>
        </w:rPr>
        <w:t>9.58</w:t>
      </w:r>
      <w:r>
        <w:rPr>
          <w:rFonts w:hint="default" w:ascii="Times New Roman" w:hAnsi="Times New Roman" w:eastAsia="仿宋" w:cs="Times New Roman"/>
          <w:color w:val="000000" w:themeColor="text1"/>
          <w:kern w:val="0"/>
          <w:sz w:val="32"/>
          <w:szCs w:val="32"/>
          <w:highlight w:val="none"/>
          <w:u w:val="none"/>
          <w:shd w:val="clear" w:color="auto" w:fill="auto"/>
          <w:lang w:val="en-US" w:eastAsia="zh-CN"/>
          <w14:textFill>
            <w14:solidFill>
              <w14:schemeClr w14:val="tx1"/>
            </w14:solidFill>
          </w14:textFill>
        </w:rPr>
        <w:t>%；</w:t>
      </w:r>
      <w:r>
        <w:rPr>
          <w:rFonts w:hint="default" w:ascii="Times New Roman" w:hAnsi="Times New Roman" w:eastAsia="仿宋" w:cs="Times New Roman"/>
          <w:color w:val="000000" w:themeColor="text1"/>
          <w:kern w:val="0"/>
          <w:sz w:val="32"/>
          <w:szCs w:val="32"/>
          <w:highlight w:val="none"/>
          <w:shd w:val="clear" w:color="auto" w:fill="auto"/>
          <w14:textFill>
            <w14:solidFill>
              <w14:schemeClr w14:val="tx1"/>
            </w14:solidFill>
          </w14:textFill>
        </w:rPr>
        <w:t>营业</w:t>
      </w:r>
      <w:r>
        <w:rPr>
          <w:rFonts w:hint="default" w:ascii="Times New Roman" w:hAnsi="Times New Roman" w:eastAsia="仿宋" w:cs="Times New Roman"/>
          <w:color w:val="000000" w:themeColor="text1"/>
          <w:kern w:val="0"/>
          <w:sz w:val="32"/>
          <w:szCs w:val="32"/>
          <w:highlight w:val="none"/>
          <w:shd w:val="clear" w:color="auto" w:fill="auto"/>
          <w:lang w:eastAsia="zh-CN"/>
          <w14:textFill>
            <w14:solidFill>
              <w14:schemeClr w14:val="tx1"/>
            </w14:solidFill>
          </w14:textFill>
        </w:rPr>
        <w:t>总</w:t>
      </w:r>
      <w:r>
        <w:rPr>
          <w:rFonts w:hint="default" w:ascii="Times New Roman" w:hAnsi="Times New Roman" w:eastAsia="仿宋" w:cs="Times New Roman"/>
          <w:color w:val="000000" w:themeColor="text1"/>
          <w:kern w:val="0"/>
          <w:sz w:val="32"/>
          <w:szCs w:val="32"/>
          <w:highlight w:val="none"/>
          <w:shd w:val="clear" w:color="auto" w:fill="auto"/>
          <w14:textFill>
            <w14:solidFill>
              <w14:schemeClr w14:val="tx1"/>
            </w14:solidFill>
          </w14:textFill>
        </w:rPr>
        <w:t>收入</w:t>
      </w:r>
      <w:r>
        <w:rPr>
          <w:rFonts w:hint="eastAsia" w:ascii="Times New Roman" w:hAnsi="Times New Roman" w:eastAsia="仿宋" w:cs="Times New Roman"/>
          <w:color w:val="000000" w:themeColor="text1"/>
          <w:kern w:val="0"/>
          <w:sz w:val="32"/>
          <w:szCs w:val="32"/>
          <w:highlight w:val="none"/>
          <w:u w:val="none"/>
          <w:shd w:val="clear" w:color="auto" w:fill="auto"/>
          <w:lang w:val="en-US" w:eastAsia="zh-CN"/>
          <w14:textFill>
            <w14:solidFill>
              <w14:schemeClr w14:val="tx1"/>
            </w14:solidFill>
          </w14:textFill>
        </w:rPr>
        <w:t>20.82</w:t>
      </w:r>
      <w:r>
        <w:rPr>
          <w:rFonts w:hint="default" w:ascii="Times New Roman" w:hAnsi="Times New Roman" w:eastAsia="仿宋" w:cs="Times New Roman"/>
          <w:color w:val="000000" w:themeColor="text1"/>
          <w:kern w:val="0"/>
          <w:sz w:val="32"/>
          <w:szCs w:val="32"/>
          <w:highlight w:val="none"/>
          <w:shd w:val="clear" w:color="auto" w:fill="auto"/>
          <w14:textFill>
            <w14:solidFill>
              <w14:schemeClr w14:val="tx1"/>
            </w14:solidFill>
          </w14:textFill>
        </w:rPr>
        <w:t>亿元。</w:t>
      </w:r>
    </w:p>
    <w:p w14:paraId="00164352">
      <w:pPr>
        <w:keepNext w:val="0"/>
        <w:keepLines w:val="0"/>
        <w:pageBreakBefore w:val="0"/>
        <w:widowControl w:val="0"/>
        <w:kinsoku/>
        <w:wordWrap/>
        <w:overflowPunct/>
        <w:topLinePunct w:val="0"/>
        <w:autoSpaceDE/>
        <w:autoSpaceDN/>
        <w:bidi w:val="0"/>
        <w:adjustRightInd/>
        <w:snapToGrid/>
        <w:spacing w:line="640" w:lineRule="atLeast"/>
        <w:ind w:left="0" w:leftChars="0" w:firstLine="640" w:firstLineChars="200"/>
        <w:jc w:val="both"/>
        <w:textAlignment w:val="auto"/>
        <w:rPr>
          <w:rFonts w:hint="default" w:ascii="Times New Roman" w:hAnsi="Times New Roman" w:eastAsia="仿宋" w:cs="Times New Roman"/>
          <w:color w:val="000000" w:themeColor="text1"/>
          <w:kern w:val="0"/>
          <w:sz w:val="32"/>
          <w:szCs w:val="32"/>
          <w:shd w:val="clear" w:color="auto" w:fill="auto"/>
          <w14:textFill>
            <w14:solidFill>
              <w14:schemeClr w14:val="tx1"/>
            </w14:solidFill>
          </w14:textFill>
        </w:rPr>
      </w:pPr>
      <w:r>
        <w:rPr>
          <w:rFonts w:hint="default" w:ascii="Times New Roman" w:hAnsi="Times New Roman" w:eastAsia="仿宋" w:cs="Times New Roman"/>
          <w:color w:val="000000" w:themeColor="text1"/>
          <w:kern w:val="0"/>
          <w:sz w:val="32"/>
          <w:szCs w:val="32"/>
          <w:shd w:val="clear" w:color="auto" w:fill="auto"/>
          <w14:textFill>
            <w14:solidFill>
              <w14:schemeClr w14:val="tx1"/>
            </w14:solidFill>
          </w14:textFill>
        </w:rPr>
        <w:t>2</w:t>
      </w:r>
      <w:r>
        <w:rPr>
          <w:rFonts w:hint="default"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w:t>
      </w:r>
      <w:r>
        <w:rPr>
          <w:rFonts w:hint="default" w:ascii="Times New Roman" w:hAnsi="Times New Roman" w:eastAsia="仿宋" w:cs="Times New Roman"/>
          <w:color w:val="000000" w:themeColor="text1"/>
          <w:kern w:val="0"/>
          <w:sz w:val="32"/>
          <w:szCs w:val="32"/>
          <w:shd w:val="clear" w:color="auto" w:fill="auto"/>
          <w14:textFill>
            <w14:solidFill>
              <w14:schemeClr w14:val="tx1"/>
            </w14:solidFill>
          </w14:textFill>
        </w:rPr>
        <w:t>资本的投向和布局情况。国有企业根据单户企业财务报表填列的国民经济行业分类统计，我县国有企业投向、布局情况如下：一是从功能性角度看：国有资本集中于基础设施、区块开发、公用事业等领域，其中县属经营性国有资产80%以上集中于上述领域。二是从20</w:t>
      </w:r>
      <w:r>
        <w:rPr>
          <w:rFonts w:hint="default"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2</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3</w:t>
      </w:r>
      <w:r>
        <w:rPr>
          <w:rFonts w:hint="default" w:ascii="Times New Roman" w:hAnsi="Times New Roman" w:eastAsia="仿宋" w:cs="Times New Roman"/>
          <w:color w:val="000000" w:themeColor="text1"/>
          <w:kern w:val="0"/>
          <w:sz w:val="32"/>
          <w:szCs w:val="32"/>
          <w:shd w:val="clear" w:color="auto" w:fill="auto"/>
          <w14:textFill>
            <w14:solidFill>
              <w14:schemeClr w14:val="tx1"/>
            </w14:solidFill>
          </w14:textFill>
        </w:rPr>
        <w:t>年度资本投资量看：主要用于交通、城市建设、民生建设方面。</w:t>
      </w:r>
    </w:p>
    <w:p w14:paraId="4EF457F6">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default" w:ascii="Times New Roman" w:hAnsi="Times New Roman" w:eastAsia="楷体" w:cs="Times New Roman"/>
          <w:b/>
          <w:bCs/>
          <w:color w:val="000000" w:themeColor="text1"/>
          <w:kern w:val="0"/>
          <w:sz w:val="32"/>
          <w:szCs w:val="32"/>
          <w:shd w:val="clear" w:color="auto" w:fill="auto"/>
          <w:lang w:val="en-US" w:eastAsia="zh-CN"/>
          <w14:textFill>
            <w14:solidFill>
              <w14:schemeClr w14:val="tx1"/>
            </w14:solidFill>
          </w14:textFill>
        </w:rPr>
      </w:pPr>
      <w:r>
        <w:rPr>
          <w:rFonts w:hint="default" w:ascii="Times New Roman" w:hAnsi="Times New Roman" w:eastAsia="楷体" w:cs="Times New Roman"/>
          <w:b/>
          <w:bCs/>
          <w:color w:val="000000" w:themeColor="text1"/>
          <w:kern w:val="0"/>
          <w:sz w:val="32"/>
          <w:szCs w:val="32"/>
          <w:shd w:val="clear" w:color="auto" w:fill="auto"/>
          <w14:textFill>
            <w14:solidFill>
              <w14:schemeClr w14:val="tx1"/>
            </w14:solidFill>
          </w14:textFill>
        </w:rPr>
        <w:t>（</w:t>
      </w:r>
      <w:r>
        <w:rPr>
          <w:rFonts w:hint="eastAsia" w:ascii="Times New Roman" w:hAnsi="Times New Roman" w:eastAsia="楷体" w:cs="Times New Roman"/>
          <w:b/>
          <w:bCs/>
          <w:color w:val="000000" w:themeColor="text1"/>
          <w:kern w:val="0"/>
          <w:sz w:val="32"/>
          <w:szCs w:val="32"/>
          <w:shd w:val="clear" w:color="auto" w:fill="auto"/>
          <w:lang w:val="en-US" w:eastAsia="zh-CN"/>
          <w14:textFill>
            <w14:solidFill>
              <w14:schemeClr w14:val="tx1"/>
            </w14:solidFill>
          </w14:textFill>
        </w:rPr>
        <w:t>二</w:t>
      </w:r>
      <w:r>
        <w:rPr>
          <w:rFonts w:hint="default" w:ascii="Times New Roman" w:hAnsi="Times New Roman" w:eastAsia="楷体" w:cs="Times New Roman"/>
          <w:b/>
          <w:bCs/>
          <w:color w:val="000000" w:themeColor="text1"/>
          <w:kern w:val="0"/>
          <w:sz w:val="32"/>
          <w:szCs w:val="32"/>
          <w:shd w:val="clear" w:color="auto" w:fill="auto"/>
          <w14:textFill>
            <w14:solidFill>
              <w14:schemeClr w14:val="tx1"/>
            </w14:solidFill>
          </w14:textFill>
        </w:rPr>
        <w:t>）企业国有资产管理</w:t>
      </w:r>
      <w:r>
        <w:rPr>
          <w:rFonts w:hint="eastAsia" w:ascii="Times New Roman" w:hAnsi="Times New Roman" w:eastAsia="楷体" w:cs="Times New Roman"/>
          <w:b/>
          <w:bCs/>
          <w:color w:val="000000" w:themeColor="text1"/>
          <w:kern w:val="0"/>
          <w:sz w:val="32"/>
          <w:szCs w:val="32"/>
          <w:shd w:val="clear" w:color="auto" w:fill="auto"/>
          <w:lang w:val="en-US" w:eastAsia="zh-CN"/>
          <w14:textFill>
            <w14:solidFill>
              <w14:schemeClr w14:val="tx1"/>
            </w14:solidFill>
          </w14:textFill>
        </w:rPr>
        <w:t>措施与成效</w:t>
      </w:r>
    </w:p>
    <w:p w14:paraId="4E243A55">
      <w:pPr>
        <w:keepNext w:val="0"/>
        <w:keepLines w:val="0"/>
        <w:pageBreakBefore w:val="0"/>
        <w:widowControl w:val="0"/>
        <w:shd w:val="clear" w:color="auto" w:fill="FFFFFF"/>
        <w:kinsoku/>
        <w:wordWrap/>
        <w:overflowPunct w:val="0"/>
        <w:topLinePunct w:val="0"/>
        <w:autoSpaceDE/>
        <w:autoSpaceDN/>
        <w:bidi w:val="0"/>
        <w:adjustRightInd/>
        <w:snapToGrid/>
        <w:spacing w:beforeAutospacing="0" w:afterAutospacing="0" w:line="580" w:lineRule="exact"/>
        <w:ind w:left="0" w:firstLine="643" w:firstLineChars="200"/>
        <w:textAlignment w:val="auto"/>
        <w:rPr>
          <w:rFonts w:hint="eastAsia" w:ascii="Times New Roman" w:hAnsi="Times New Roman" w:eastAsia="仿宋" w:cs="Times New Roman"/>
          <w:b/>
          <w:bCs/>
          <w:color w:val="000000" w:themeColor="text1"/>
          <w:kern w:val="0"/>
          <w:sz w:val="32"/>
          <w:szCs w:val="32"/>
          <w:highlight w:val="none"/>
          <w:shd w:val="clear" w:color="auto" w:fill="auto"/>
          <w:lang w:val="en-US" w:eastAsia="zh-CN"/>
          <w14:textFill>
            <w14:solidFill>
              <w14:schemeClr w14:val="tx1"/>
            </w14:solidFill>
          </w14:textFill>
        </w:rPr>
      </w:pPr>
      <w:r>
        <w:rPr>
          <w:rFonts w:hint="default" w:ascii="Times New Roman" w:hAnsi="Times New Roman" w:eastAsia="仿宋" w:cs="Times New Roman"/>
          <w:b/>
          <w:bCs/>
          <w:color w:val="000000" w:themeColor="text1"/>
          <w:kern w:val="0"/>
          <w:sz w:val="32"/>
          <w:szCs w:val="32"/>
          <w:highlight w:val="none"/>
          <w:shd w:val="clear" w:color="auto" w:fill="auto"/>
          <w14:textFill>
            <w14:solidFill>
              <w14:schemeClr w14:val="tx1"/>
            </w14:solidFill>
          </w14:textFill>
        </w:rPr>
        <w:t>1.</w:t>
      </w:r>
      <w:r>
        <w:rPr>
          <w:rFonts w:hint="eastAsia" w:ascii="Times New Roman" w:hAnsi="Times New Roman" w:eastAsia="仿宋" w:cs="Times New Roman"/>
          <w:b/>
          <w:bCs/>
          <w:color w:val="000000" w:themeColor="text1"/>
          <w:kern w:val="0"/>
          <w:sz w:val="32"/>
          <w:szCs w:val="32"/>
          <w:highlight w:val="none"/>
          <w:shd w:val="clear" w:color="auto" w:fill="auto"/>
          <w:lang w:val="en-US" w:eastAsia="zh-CN"/>
          <w14:textFill>
            <w14:solidFill>
              <w14:schemeClr w14:val="tx1"/>
            </w14:solidFill>
          </w14:textFill>
        </w:rPr>
        <w:t>强化党建引领，夯实企业发展根基</w:t>
      </w:r>
    </w:p>
    <w:p w14:paraId="34350CFE">
      <w:pPr>
        <w:spacing w:line="700" w:lineRule="exact"/>
        <w:ind w:firstLine="640" w:firstLineChars="200"/>
        <w:rPr>
          <w:rFonts w:hint="default" w:ascii="Times New Roman" w:hAnsi="Times New Roman" w:eastAsia="仿宋" w:cs="Times New Roman"/>
          <w:b/>
          <w:bCs/>
          <w:color w:val="000000" w:themeColor="text1"/>
          <w:kern w:val="0"/>
          <w:sz w:val="32"/>
          <w:szCs w:val="32"/>
          <w:highlight w:val="none"/>
          <w:shd w:val="clear" w:color="auto" w:fill="auto"/>
          <w:lang w:val="en-US" w:eastAsia="zh-CN"/>
          <w14:textFill>
            <w14:solidFill>
              <w14:schemeClr w14:val="tx1"/>
            </w14:solidFill>
          </w14:textFill>
        </w:rPr>
      </w:pPr>
      <w:r>
        <w:rPr>
          <w:rFonts w:hint="default"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坚持和加强党对国有企业的全面领导，</w:t>
      </w:r>
      <w:r>
        <w:rPr>
          <w:rFonts w:hint="eastAsia"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认真落实“第一议题”制度，进一步明确和落实党组织在公司法人治理结构中的法定地位，充分发挥国有企业党组织把方向、管大局、保落实的领导作用，着力夯实支部建设基础，自成立国资办党工委以来已</w:t>
      </w:r>
      <w:r>
        <w:rPr>
          <w:rFonts w:hint="default"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实现</w:t>
      </w:r>
      <w:r>
        <w:rPr>
          <w:rFonts w:hint="eastAsia"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5个支部建设</w:t>
      </w:r>
      <w:r>
        <w:rPr>
          <w:rFonts w:hint="default"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全覆盖</w:t>
      </w:r>
      <w:r>
        <w:rPr>
          <w:rFonts w:hint="eastAsia"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。同时围绕“勤廉国企建设”，监督国有企业贯彻落实党中央、国务院以及上级党委、政府和纪检监察机关关于党风廉政建设的部署和要求。</w:t>
      </w:r>
      <w:r>
        <w:rPr>
          <w:rFonts w:hint="default"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推动国有企业“一企一特色”创建活动，</w:t>
      </w:r>
      <w:r>
        <w:rPr>
          <w:rFonts w:hint="eastAsia"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扎实推进党建“三化”建设，以党建引领国有企业高质量发展。</w:t>
      </w:r>
    </w:p>
    <w:p w14:paraId="79D28B55">
      <w:pPr>
        <w:spacing w:line="700" w:lineRule="exact"/>
        <w:ind w:firstLine="643" w:firstLineChars="200"/>
        <w:rPr>
          <w:rFonts w:hint="default" w:ascii="Times New Roman" w:hAnsi="Times New Roman" w:eastAsia="仿宋" w:cs="Times New Roman"/>
          <w:b w:val="0"/>
          <w:bCs w:val="0"/>
          <w:color w:val="000000" w:themeColor="text1"/>
          <w:kern w:val="0"/>
          <w:sz w:val="32"/>
          <w:szCs w:val="32"/>
          <w:highlight w:val="none"/>
          <w:shd w:val="clear" w:color="auto" w:fill="auto"/>
          <w14:textFill>
            <w14:solidFill>
              <w14:schemeClr w14:val="tx1"/>
            </w14:solidFill>
          </w14:textFill>
        </w:rPr>
      </w:pPr>
      <w:r>
        <w:rPr>
          <w:rFonts w:hint="eastAsia" w:ascii="Times New Roman" w:hAnsi="Times New Roman" w:eastAsia="仿宋" w:cs="Times New Roman"/>
          <w:b/>
          <w:bCs/>
          <w:color w:val="000000" w:themeColor="text1"/>
          <w:kern w:val="0"/>
          <w:sz w:val="32"/>
          <w:szCs w:val="32"/>
          <w:highlight w:val="none"/>
          <w:shd w:val="clear" w:color="auto" w:fill="auto"/>
          <w:lang w:val="en-US" w:eastAsia="zh-CN"/>
          <w14:textFill>
            <w14:solidFill>
              <w14:schemeClr w14:val="tx1"/>
            </w14:solidFill>
          </w14:textFill>
        </w:rPr>
        <w:t>2.推进企业优化升级，强化风险防控。</w:t>
      </w:r>
      <w:r>
        <w:rPr>
          <w:rFonts w:hint="eastAsia" w:ascii="Times New Roman" w:hAnsi="Times New Roman" w:eastAsia="仿宋" w:cs="Times New Roman"/>
          <w:b/>
          <w:bCs/>
          <w:color w:val="000000" w:themeColor="text1"/>
          <w:sz w:val="32"/>
          <w:szCs w:val="32"/>
          <w:highlight w:val="none"/>
          <w:shd w:val="clear" w:color="auto" w:fill="auto"/>
          <w:lang w:val="en-US" w:eastAsia="zh-CN"/>
          <w14:textFill>
            <w14:solidFill>
              <w14:schemeClr w14:val="tx1"/>
            </w14:solidFill>
          </w14:textFill>
        </w:rPr>
        <w:t>一是</w:t>
      </w:r>
      <w:r>
        <w:rPr>
          <w:rFonts w:hint="default"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制定《玉山县融资平台优化升级实施方案》</w:t>
      </w:r>
      <w:r>
        <w:rPr>
          <w:rFonts w:hint="eastAsia"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玉办发【2023】2号</w:t>
      </w:r>
      <w:r>
        <w:rPr>
          <w:rFonts w:hint="default"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，积极推进我县玉投集团和水投公司通过整合资源，注入资</w:t>
      </w:r>
      <w:r>
        <w:rPr>
          <w:rFonts w:hint="eastAsia"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产</w:t>
      </w:r>
      <w:r>
        <w:rPr>
          <w:rFonts w:hint="default"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，加强资产管理</w:t>
      </w:r>
      <w:r>
        <w:rPr>
          <w:rFonts w:hint="eastAsia"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w:t>
      </w:r>
      <w:r>
        <w:rPr>
          <w:rFonts w:hint="default"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按照我县经营性国有资产清单属性，分别注入各相关国有企业，有序推进特许经营权管理，做好第三方机构评估，加快资产注入，促使南山、六都两处的矿产资源有效注入玉投集团。</w:t>
      </w:r>
      <w:r>
        <w:rPr>
          <w:rFonts w:hint="eastAsia" w:ascii="Times New Roman" w:hAnsi="Times New Roman" w:eastAsia="仿宋" w:cs="Times New Roman"/>
          <w:b/>
          <w:bCs/>
          <w:color w:val="000000" w:themeColor="text1"/>
          <w:sz w:val="32"/>
          <w:szCs w:val="32"/>
          <w:highlight w:val="none"/>
          <w:shd w:val="clear" w:color="auto" w:fill="auto"/>
          <w:lang w:val="en-US" w:eastAsia="zh-CN"/>
          <w14:textFill>
            <w14:solidFill>
              <w14:schemeClr w14:val="tx1"/>
            </w14:solidFill>
          </w14:textFill>
        </w:rPr>
        <w:t>二是</w:t>
      </w:r>
      <w:r>
        <w:rPr>
          <w:rFonts w:hint="default"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制定《玉山县其他国有企业债务风险防控工作方案》，推行“一企一策”，压减存量性债务规模，化解债务风险</w:t>
      </w:r>
      <w:r>
        <w:rPr>
          <w:rFonts w:hint="eastAsia"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w:t>
      </w:r>
      <w:r>
        <w:rPr>
          <w:rFonts w:hint="default"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提升信用水平，解决县投融资平台资产总量偏小，融资偏难的问题。</w:t>
      </w:r>
      <w:r>
        <w:rPr>
          <w:rFonts w:hint="eastAsia" w:ascii="Times New Roman" w:hAnsi="Times New Roman" w:eastAsia="仿宋" w:cs="Times New Roman"/>
          <w:b/>
          <w:bCs/>
          <w:color w:val="000000" w:themeColor="text1"/>
          <w:sz w:val="32"/>
          <w:szCs w:val="32"/>
          <w:highlight w:val="none"/>
          <w:shd w:val="clear" w:color="auto" w:fill="auto"/>
          <w:lang w:val="en-US" w:eastAsia="zh-CN"/>
          <w14:textFill>
            <w14:solidFill>
              <w14:schemeClr w14:val="tx1"/>
            </w14:solidFill>
          </w14:textFill>
        </w:rPr>
        <w:t>三是</w:t>
      </w:r>
      <w:r>
        <w:rPr>
          <w:rFonts w:hint="eastAsia" w:ascii="Times New Roman" w:hAnsi="Times New Roman" w:eastAsia="仿宋" w:cs="Times New Roman"/>
          <w:b w:val="0"/>
          <w:bCs w:val="0"/>
          <w:color w:val="000000" w:themeColor="text1"/>
          <w:sz w:val="32"/>
          <w:szCs w:val="32"/>
          <w:highlight w:val="none"/>
          <w:shd w:val="clear" w:color="auto" w:fill="auto"/>
          <w:lang w:val="en-US" w:eastAsia="zh-CN"/>
          <w14:textFill>
            <w14:solidFill>
              <w14:schemeClr w14:val="tx1"/>
            </w14:solidFill>
          </w14:textFill>
        </w:rPr>
        <w:t>加强国资监管，各国有企业每月向国资办报送国有企业主要财务指标监测情况表、企业债务余额监测情况表和企业户数变动监测情况表等相关资料，加强监测预警、规范债务管理，推动其他国有企业保持合理的债务规模和资产负债结构，守住不发生重大债务风险的底线。</w:t>
      </w:r>
    </w:p>
    <w:p w14:paraId="70FBDF17">
      <w:pPr>
        <w:ind w:firstLine="643" w:firstLineChars="200"/>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3.盘活存量资产，推动国有资产保值增值。</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全面梳理并健全资产台账，加快推进存量资产盘活，县国有企业按规定通过进场交易、协议转让、无偿划转、不良资产收购等方式盘活长期闲置低效的存量资产，提高资产运营管理效率。如玉投公司2023年新增收购经营性国有资产2处，资产面积约为4355.47平方米。</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县属资产经营发展有限公司</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2023年无偿划转2处行政事业单位房产，建设面积共计13366.96平方米，新增注入产业园地块37.63亩。同时，以提升资产管理效率为核心，科学运用公开招租、合作经营等方式，利用自身优势资源，发挥资产运营价值，确保国有资产保值增值。2023年12月31日，公开拍租闲置资产1625.20万元，公开拍卖闲置资产11695.19万元，有效盘活了国有资产，提高了经济效益。</w:t>
      </w:r>
    </w:p>
    <w:p w14:paraId="06BD8C69">
      <w:pPr>
        <w:ind w:firstLine="643" w:firstLineChars="200"/>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4.</w:t>
      </w: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立足主责主业，助推企业高质量发展。</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聚焦项目建设“</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大攻坚行动”，坚持把项目建设作为高质量发展的核心，2023年度承建项目</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共89</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个，其中在建及竣工项目</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42</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个，新建项目</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37</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个</w:t>
      </w:r>
      <w:r>
        <w:rPr>
          <w:rFonts w:hint="eastAsia" w:ascii="仿宋_GB2312" w:hAnsi="仿宋_GB2312" w:eastAsia="仿宋_GB2312" w:cs="仿宋_GB2312"/>
          <w:color w:val="000000" w:themeColor="text1"/>
          <w:sz w:val="32"/>
          <w:szCs w:val="32"/>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有玉投公司的玉山县城北学校建设项目、玉山县职业教育基础设施建设项目、水投公司的玉山县城备用水源及配套管网建设项目、城乡供水一体化必姆水厂及配套管网建设项目、创投公司的玉山县产城融合园区标准化厂房及配套设施建设项目、玉山县城西标准化厂房建设项目-1#钢结构厂房项目等。特别是玉投公司的玉山县职业教育基础设施建设项目，仅用20个月时间完成竣工交付，确保了玉山县基础设施建设和教育事业的均衡发展，切实解决当地教育供需不平衡的矛盾。</w:t>
      </w:r>
    </w:p>
    <w:p w14:paraId="793F1F38">
      <w:pPr>
        <w:ind w:firstLine="643" w:firstLineChars="200"/>
        <w:rPr>
          <w:rFonts w:hint="default"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shd w:val="clear" w:color="auto" w:fill="auto"/>
          <w:lang w:val="en-US" w:eastAsia="zh-CN"/>
          <w14:textFill>
            <w14:solidFill>
              <w14:schemeClr w14:val="tx1"/>
            </w14:solidFill>
          </w14:textFill>
        </w:rPr>
        <w:t>5.</w:t>
      </w:r>
      <w:r>
        <w:rPr>
          <w:rFonts w:hint="eastAsia" w:ascii="仿宋_GB2312" w:hAnsi="仿宋_GB2312" w:eastAsia="仿宋_GB2312" w:cs="仿宋_GB2312"/>
          <w:b/>
          <w:bCs/>
          <w:color w:val="000000" w:themeColor="text1"/>
          <w:sz w:val="32"/>
          <w:szCs w:val="32"/>
          <w:shd w:val="clear" w:color="auto" w:fill="auto"/>
          <w14:textFill>
            <w14:solidFill>
              <w14:schemeClr w14:val="tx1"/>
            </w14:solidFill>
          </w14:textFill>
        </w:rPr>
        <w:t>优化资本结构，推进企业降本提质增效。</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县国有</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企业积极拓宽融资渠道，优化资本结构，为有效发挥平台公司作用，缓解财政资金压力，将资金融资期限“短改长”、融资利率“高改低”、流动性贷款置换为项目贷款等方式，节约融资成本约</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11416.69</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 xml:space="preserve">万元。同时，不断强化对工程项目的全生命周期管理，突出工程内控管理，控制工程投资建设成本，已完成 </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39</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个在建项目进度款的审核，核减</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3582.64</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万元,已完成</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26</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项在建项目的签证变更、签证内审工作，核减</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1865.71</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万</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元</w:t>
      </w: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，有效提升了降本增效水平。</w:t>
      </w:r>
    </w:p>
    <w:p w14:paraId="5B6C4186">
      <w:pPr>
        <w:pStyle w:val="2"/>
        <w:keepNext w:val="0"/>
        <w:keepLines w:val="0"/>
        <w:pageBreakBefore w:val="0"/>
        <w:widowControl w:val="0"/>
        <w:numPr>
          <w:ilvl w:val="0"/>
          <w:numId w:val="0"/>
        </w:numPr>
        <w:kinsoku/>
        <w:wordWrap/>
        <w:overflowPunct/>
        <w:topLinePunct w:val="0"/>
        <w:autoSpaceDN/>
        <w:bidi w:val="0"/>
        <w:spacing w:line="560" w:lineRule="exact"/>
        <w:ind w:firstLine="643" w:firstLineChars="200"/>
        <w:textAlignment w:val="auto"/>
        <w:rPr>
          <w:rFonts w:hint="eastAsia" w:ascii="仿宋" w:hAnsi="仿宋" w:eastAsia="仿宋" w:cs="仿宋"/>
          <w:b w:val="0"/>
          <w:bCs w:val="0"/>
          <w:color w:val="000000" w:themeColor="text1"/>
          <w:sz w:val="32"/>
          <w:szCs w:val="32"/>
          <w:highlight w:val="none"/>
          <w:shd w:val="clear" w:color="auto" w:fill="auto"/>
          <w:lang w:val="en-US" w:eastAsia="zh-CN"/>
          <w14:textFill>
            <w14:solidFill>
              <w14:schemeClr w14:val="tx1"/>
            </w14:solidFill>
          </w14:textFill>
        </w:rPr>
      </w:pPr>
      <w:r>
        <w:rPr>
          <w:rFonts w:hint="eastAsia" w:ascii="仿宋" w:hAnsi="仿宋" w:eastAsia="仿宋" w:cs="仿宋"/>
          <w:b/>
          <w:color w:val="000000" w:themeColor="text1"/>
          <w:sz w:val="32"/>
          <w:szCs w:val="32"/>
          <w:shd w:val="clear" w:color="auto" w:fill="auto"/>
          <w:lang w:eastAsia="zh-CN"/>
          <w14:textFill>
            <w14:solidFill>
              <w14:schemeClr w14:val="tx1"/>
            </w14:solidFill>
          </w14:textFill>
        </w:rPr>
        <w:t>（</w:t>
      </w:r>
      <w:r>
        <w:rPr>
          <w:rFonts w:hint="eastAsia" w:ascii="仿宋" w:hAnsi="仿宋" w:eastAsia="仿宋" w:cs="仿宋"/>
          <w:b/>
          <w:color w:val="000000" w:themeColor="text1"/>
          <w:sz w:val="32"/>
          <w:szCs w:val="32"/>
          <w:shd w:val="clear" w:color="auto" w:fill="auto"/>
          <w:lang w:val="en-US" w:eastAsia="zh-CN"/>
          <w14:textFill>
            <w14:solidFill>
              <w14:schemeClr w14:val="tx1"/>
            </w14:solidFill>
          </w14:textFill>
        </w:rPr>
        <w:t>三）</w:t>
      </w:r>
      <w:r>
        <w:rPr>
          <w:rFonts w:hint="eastAsia" w:ascii="仿宋" w:hAnsi="仿宋" w:eastAsia="仿宋" w:cs="仿宋"/>
          <w:b/>
          <w:color w:val="000000" w:themeColor="text1"/>
          <w:sz w:val="32"/>
          <w:szCs w:val="32"/>
          <w:shd w:val="clear" w:color="auto" w:fill="auto"/>
          <w14:textFill>
            <w14:solidFill>
              <w14:schemeClr w14:val="tx1"/>
            </w14:solidFill>
          </w14:textFill>
        </w:rPr>
        <w:t>企业国有资产管理存在的主要问题</w:t>
      </w:r>
    </w:p>
    <w:p w14:paraId="0B8CA02D">
      <w:pPr>
        <w:keepNext w:val="0"/>
        <w:keepLines w:val="0"/>
        <w:pageBreakBefore w:val="0"/>
        <w:widowControl w:val="0"/>
        <w:kinsoku/>
        <w:wordWrap/>
        <w:overflowPunct/>
        <w:topLinePunct w:val="0"/>
        <w:autoSpaceDE/>
        <w:autoSpaceDN/>
        <w:bidi w:val="0"/>
        <w:adjustRightInd/>
        <w:snapToGrid/>
        <w:spacing w:line="640" w:lineRule="atLeast"/>
        <w:ind w:left="0" w:leftChars="0" w:firstLine="640" w:firstLineChars="200"/>
        <w:jc w:val="both"/>
        <w:textAlignment w:val="auto"/>
        <w:rPr>
          <w:rFonts w:hint="eastAsia" w:ascii="Times New Roman" w:hAnsi="Times New Roman" w:eastAsia="仿宋" w:cs="Times New Roman"/>
          <w:color w:val="000000" w:themeColor="text1"/>
          <w:kern w:val="0"/>
          <w:sz w:val="32"/>
          <w:szCs w:val="32"/>
          <w:highlight w:val="none"/>
          <w:shd w:val="clear" w:color="auto" w:fill="auto"/>
          <w:lang w:eastAsia="zh-CN"/>
          <w14:textFill>
            <w14:solidFill>
              <w14:schemeClr w14:val="tx1"/>
            </w14:solidFill>
          </w14:textFill>
        </w:rPr>
      </w:pPr>
      <w:r>
        <w:rPr>
          <w:rFonts w:hint="eastAsia" w:ascii="Times New Roman" w:hAnsi="Times New Roman" w:eastAsia="仿宋" w:cs="Times New Roman"/>
          <w:color w:val="000000" w:themeColor="text1"/>
          <w:kern w:val="0"/>
          <w:sz w:val="32"/>
          <w:szCs w:val="32"/>
          <w:highlight w:val="none"/>
          <w:shd w:val="clear" w:color="auto" w:fill="auto"/>
          <w:lang w:val="en-US" w:eastAsia="zh-CN"/>
          <w14:textFill>
            <w14:solidFill>
              <w14:schemeClr w14:val="tx1"/>
            </w14:solidFill>
          </w14:textFill>
        </w:rPr>
        <w:t>1.</w:t>
      </w:r>
      <w:r>
        <w:rPr>
          <w:rFonts w:hint="default" w:ascii="Times New Roman" w:hAnsi="Times New Roman" w:eastAsia="仿宋" w:cs="Times New Roman"/>
          <w:color w:val="000000" w:themeColor="text1"/>
          <w:kern w:val="0"/>
          <w:sz w:val="32"/>
          <w:szCs w:val="32"/>
          <w:highlight w:val="none"/>
          <w:shd w:val="clear" w:color="auto" w:fill="auto"/>
          <w:lang w:eastAsia="zh-CN"/>
          <w14:textFill>
            <w14:solidFill>
              <w14:schemeClr w14:val="tx1"/>
            </w14:solidFill>
          </w14:textFill>
        </w:rPr>
        <w:t>企业创新能力</w:t>
      </w:r>
      <w:r>
        <w:rPr>
          <w:rFonts w:hint="eastAsia" w:ascii="Times New Roman" w:hAnsi="Times New Roman" w:eastAsia="仿宋" w:cs="Times New Roman"/>
          <w:color w:val="000000" w:themeColor="text1"/>
          <w:kern w:val="0"/>
          <w:sz w:val="32"/>
          <w:szCs w:val="32"/>
          <w:highlight w:val="none"/>
          <w:shd w:val="clear" w:color="auto" w:fill="auto"/>
          <w:lang w:val="en-US" w:eastAsia="zh-CN"/>
          <w14:textFill>
            <w14:solidFill>
              <w14:schemeClr w14:val="tx1"/>
            </w14:solidFill>
          </w14:textFill>
        </w:rPr>
        <w:t>有待加强</w:t>
      </w:r>
      <w:r>
        <w:rPr>
          <w:rFonts w:hint="default" w:ascii="Times New Roman" w:hAnsi="Times New Roman" w:eastAsia="仿宋" w:cs="Times New Roman"/>
          <w:color w:val="000000" w:themeColor="text1"/>
          <w:kern w:val="0"/>
          <w:sz w:val="32"/>
          <w:szCs w:val="32"/>
          <w:highlight w:val="none"/>
          <w:shd w:val="clear" w:color="auto" w:fill="auto"/>
          <w:lang w:eastAsia="zh-CN"/>
          <w14:textFill>
            <w14:solidFill>
              <w14:schemeClr w14:val="tx1"/>
            </w14:solidFill>
          </w14:textFill>
        </w:rPr>
        <w:t>，</w:t>
      </w:r>
      <w:r>
        <w:rPr>
          <w:rFonts w:hint="eastAsia" w:ascii="Times New Roman" w:hAnsi="Times New Roman" w:eastAsia="仿宋" w:cs="Times New Roman"/>
          <w:color w:val="000000" w:themeColor="text1"/>
          <w:kern w:val="0"/>
          <w:sz w:val="32"/>
          <w:szCs w:val="32"/>
          <w:highlight w:val="none"/>
          <w:shd w:val="clear" w:color="auto" w:fill="auto"/>
          <w:lang w:val="en-US" w:eastAsia="zh-CN"/>
          <w14:textFill>
            <w14:solidFill>
              <w14:schemeClr w14:val="tx1"/>
            </w14:solidFill>
          </w14:textFill>
        </w:rPr>
        <w:t>培育新型业态、新兴产业成效不够明显，</w:t>
      </w:r>
      <w:r>
        <w:rPr>
          <w:rFonts w:hint="default" w:ascii="Times New Roman" w:hAnsi="Times New Roman" w:eastAsia="仿宋" w:cs="Times New Roman"/>
          <w:color w:val="000000" w:themeColor="text1"/>
          <w:kern w:val="0"/>
          <w:sz w:val="32"/>
          <w:szCs w:val="32"/>
          <w:highlight w:val="none"/>
          <w:shd w:val="clear" w:color="auto" w:fill="auto"/>
          <w:lang w:eastAsia="zh-CN"/>
          <w14:textFill>
            <w14:solidFill>
              <w14:schemeClr w14:val="tx1"/>
            </w14:solidFill>
          </w14:textFill>
        </w:rPr>
        <w:t>服务全县经济</w:t>
      </w:r>
      <w:r>
        <w:rPr>
          <w:rFonts w:hint="eastAsia" w:ascii="Times New Roman" w:hAnsi="Times New Roman" w:eastAsia="仿宋" w:cs="Times New Roman"/>
          <w:color w:val="000000" w:themeColor="text1"/>
          <w:kern w:val="0"/>
          <w:sz w:val="32"/>
          <w:szCs w:val="32"/>
          <w:highlight w:val="none"/>
          <w:shd w:val="clear" w:color="auto" w:fill="auto"/>
          <w:lang w:val="en-US" w:eastAsia="zh-CN"/>
          <w14:textFill>
            <w14:solidFill>
              <w14:schemeClr w14:val="tx1"/>
            </w14:solidFill>
          </w14:textFill>
        </w:rPr>
        <w:t>社会高质量</w:t>
      </w:r>
      <w:r>
        <w:rPr>
          <w:rFonts w:hint="default" w:ascii="Times New Roman" w:hAnsi="Times New Roman" w:eastAsia="仿宋" w:cs="Times New Roman"/>
          <w:color w:val="000000" w:themeColor="text1"/>
          <w:kern w:val="0"/>
          <w:sz w:val="32"/>
          <w:szCs w:val="32"/>
          <w:highlight w:val="none"/>
          <w:shd w:val="clear" w:color="auto" w:fill="auto"/>
          <w:lang w:eastAsia="zh-CN"/>
          <w14:textFill>
            <w14:solidFill>
              <w14:schemeClr w14:val="tx1"/>
            </w14:solidFill>
          </w14:textFill>
        </w:rPr>
        <w:t>发展能力还需进一步提高</w:t>
      </w:r>
      <w:r>
        <w:rPr>
          <w:rFonts w:hint="eastAsia" w:ascii="Times New Roman" w:hAnsi="Times New Roman" w:eastAsia="仿宋" w:cs="Times New Roman"/>
          <w:color w:val="000000" w:themeColor="text1"/>
          <w:kern w:val="0"/>
          <w:sz w:val="32"/>
          <w:szCs w:val="32"/>
          <w:highlight w:val="none"/>
          <w:shd w:val="clear" w:color="auto" w:fill="auto"/>
          <w:lang w:eastAsia="zh-CN"/>
          <w14:textFill>
            <w14:solidFill>
              <w14:schemeClr w14:val="tx1"/>
            </w14:solidFill>
          </w14:textFill>
        </w:rPr>
        <w:t>。</w:t>
      </w:r>
    </w:p>
    <w:p w14:paraId="46EC40C3">
      <w:pPr>
        <w:keepNext w:val="0"/>
        <w:keepLines w:val="0"/>
        <w:pageBreakBefore w:val="0"/>
        <w:widowControl w:val="0"/>
        <w:kinsoku/>
        <w:wordWrap/>
        <w:overflowPunct/>
        <w:topLinePunct w:val="0"/>
        <w:autoSpaceDE/>
        <w:autoSpaceDN/>
        <w:bidi w:val="0"/>
        <w:adjustRightInd/>
        <w:snapToGrid/>
        <w:spacing w:line="640" w:lineRule="atLeast"/>
        <w:ind w:left="0" w:leftChars="0" w:firstLine="640" w:firstLineChars="200"/>
        <w:jc w:val="both"/>
        <w:textAlignment w:val="auto"/>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pPr>
      <w:r>
        <w:rPr>
          <w:rFonts w:hint="eastAsia" w:ascii="Times New Roman" w:hAnsi="Times New Roman" w:eastAsia="仿宋" w:cs="Times New Roman"/>
          <w:color w:val="000000" w:themeColor="text1"/>
          <w:kern w:val="0"/>
          <w:sz w:val="32"/>
          <w:szCs w:val="32"/>
          <w:highlight w:val="none"/>
          <w:shd w:val="clear" w:color="auto" w:fill="auto"/>
          <w:lang w:val="en-US" w:eastAsia="zh-CN"/>
          <w14:textFill>
            <w14:solidFill>
              <w14:schemeClr w14:val="tx1"/>
            </w14:solidFill>
          </w14:textFill>
        </w:rPr>
        <w:t>2.</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企业有效资产不足。企业优质的经营性资产偏少，资产收益率偏低，影响企业融资能力。</w:t>
      </w:r>
    </w:p>
    <w:p w14:paraId="652E3184">
      <w:pPr>
        <w:keepNext w:val="0"/>
        <w:keepLines w:val="0"/>
        <w:pageBreakBefore w:val="0"/>
        <w:widowControl w:val="0"/>
        <w:kinsoku/>
        <w:wordWrap/>
        <w:overflowPunct/>
        <w:topLinePunct w:val="0"/>
        <w:autoSpaceDE/>
        <w:autoSpaceDN/>
        <w:bidi w:val="0"/>
        <w:adjustRightInd/>
        <w:snapToGrid/>
        <w:spacing w:line="640" w:lineRule="atLeast"/>
        <w:ind w:left="0" w:leftChars="0" w:firstLine="640" w:firstLineChars="200"/>
        <w:jc w:val="both"/>
        <w:textAlignment w:val="auto"/>
        <w:rPr>
          <w:rFonts w:hint="default"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pP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3.</w:t>
      </w:r>
      <w:r>
        <w:rPr>
          <w:rFonts w:hint="default" w:ascii="Times New Roman" w:hAnsi="Times New Roman" w:eastAsia="仿宋" w:cs="Times New Roman"/>
          <w:color w:val="000000" w:themeColor="text1"/>
          <w:kern w:val="0"/>
          <w:sz w:val="32"/>
          <w:szCs w:val="32"/>
          <w:shd w:val="clear" w:color="auto" w:fill="auto"/>
          <w:lang w:eastAsia="zh-CN"/>
          <w14:textFill>
            <w14:solidFill>
              <w14:schemeClr w14:val="tx1"/>
            </w14:solidFill>
          </w14:textFill>
        </w:rPr>
        <w:t>县属国有企业长期作为政府投融资平台公司，承担了政府大量公益性项目投融资和建设任务，资产负债率高、债务负担沉重、保征信较艰难</w:t>
      </w:r>
      <w:r>
        <w:rPr>
          <w:rFonts w:hint="eastAsia" w:ascii="Times New Roman" w:hAnsi="Times New Roman" w:eastAsia="仿宋" w:cs="Times New Roman"/>
          <w:color w:val="000000" w:themeColor="text1"/>
          <w:kern w:val="0"/>
          <w:sz w:val="32"/>
          <w:szCs w:val="32"/>
          <w:shd w:val="clear" w:color="auto" w:fill="auto"/>
          <w:lang w:eastAsia="zh-CN"/>
          <w14:textFill>
            <w14:solidFill>
              <w14:schemeClr w14:val="tx1"/>
            </w14:solidFill>
          </w14:textFill>
        </w:rPr>
        <w:t>，</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防范化解风险压力逐步增大。</w:t>
      </w:r>
    </w:p>
    <w:p w14:paraId="0B4ECA0E">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pPr>
      <w:r>
        <w:rPr>
          <w:rFonts w:hint="default"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t xml:space="preserve"> </w:t>
      </w:r>
      <w:r>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t>（四）企业国有资产管理</w:t>
      </w:r>
      <w:r>
        <w:rPr>
          <w:rFonts w:hint="eastAsia" w:ascii="Times New Roman" w:hAnsi="Times New Roman" w:eastAsia="仿宋" w:cs="Times New Roman"/>
          <w:b/>
          <w:bCs/>
          <w:color w:val="000000" w:themeColor="text1"/>
          <w:kern w:val="0"/>
          <w:sz w:val="32"/>
          <w:szCs w:val="32"/>
          <w:shd w:val="clear" w:color="auto" w:fill="auto"/>
          <w:lang w:eastAsia="zh-CN"/>
          <w14:textFill>
            <w14:solidFill>
              <w14:schemeClr w14:val="tx1"/>
            </w14:solidFill>
          </w14:textFill>
        </w:rPr>
        <w:t>下一步</w:t>
      </w:r>
      <w:r>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t>工作打算</w:t>
      </w:r>
    </w:p>
    <w:p w14:paraId="4485CC07">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default"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pPr>
      <w:r>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t>1.全面加强党的领导，增强国企发展动力</w:t>
      </w:r>
      <w:r>
        <w:rPr>
          <w:rFonts w:hint="default"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t>。</w:t>
      </w:r>
      <w:r>
        <w:rPr>
          <w:rFonts w:hint="default" w:ascii="Times New Roman" w:hAnsi="Times New Roman" w:eastAsia="仿宋" w:cs="Times New Roman"/>
          <w:color w:val="000000" w:themeColor="text1"/>
          <w:kern w:val="0"/>
          <w:sz w:val="32"/>
          <w:szCs w:val="32"/>
          <w:shd w:val="clear" w:color="auto" w:fill="auto"/>
          <w:lang w:eastAsia="zh-CN"/>
          <w14:textFill>
            <w14:solidFill>
              <w14:schemeClr w14:val="tx1"/>
            </w14:solidFill>
          </w14:textFill>
        </w:rPr>
        <w:t>认真学习贯彻习近平总书记在</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关于国有企业改革发展和党的</w:t>
      </w:r>
      <w:r>
        <w:rPr>
          <w:rFonts w:hint="eastAsia" w:ascii="Times New Roman" w:hAnsi="Times New Roman" w:eastAsia="仿宋" w:cs="Times New Roman"/>
          <w:color w:val="000000" w:themeColor="text1"/>
          <w:kern w:val="0"/>
          <w:sz w:val="32"/>
          <w:szCs w:val="32"/>
          <w:highlight w:val="none"/>
          <w:shd w:val="clear" w:color="auto" w:fill="auto"/>
          <w:lang w:val="en-US" w:eastAsia="zh-CN"/>
          <w14:textFill>
            <w14:solidFill>
              <w14:schemeClr w14:val="tx1"/>
            </w14:solidFill>
          </w14:textFill>
        </w:rPr>
        <w:t>建设的重要论述和</w:t>
      </w:r>
      <w:r>
        <w:rPr>
          <w:rFonts w:hint="eastAsia" w:ascii="仿宋_GB2312" w:hAnsi="仿宋_GB2312" w:eastAsia="仿宋_GB2312" w:cs="仿宋_GB2312"/>
          <w:b w:val="0"/>
          <w:bCs/>
          <w:color w:val="000000" w:themeColor="text1"/>
          <w:sz w:val="32"/>
          <w:szCs w:val="32"/>
          <w:highlight w:val="none"/>
          <w:shd w:val="clear" w:color="auto" w:fill="auto"/>
          <w14:textFill>
            <w14:solidFill>
              <w14:schemeClr w14:val="tx1"/>
            </w14:solidFill>
          </w14:textFill>
        </w:rPr>
        <w:t>考察江西重要讲话精神</w:t>
      </w:r>
      <w:r>
        <w:rPr>
          <w:rFonts w:hint="default" w:ascii="Times New Roman" w:hAnsi="Times New Roman" w:eastAsia="仿宋" w:cs="Times New Roman"/>
          <w:color w:val="000000" w:themeColor="text1"/>
          <w:kern w:val="0"/>
          <w:sz w:val="32"/>
          <w:szCs w:val="32"/>
          <w:highlight w:val="none"/>
          <w:shd w:val="clear" w:color="auto" w:fill="auto"/>
          <w:lang w:eastAsia="zh-CN"/>
          <w14:textFill>
            <w14:solidFill>
              <w14:schemeClr w14:val="tx1"/>
            </w14:solidFill>
          </w14:textFill>
        </w:rPr>
        <w:t>，</w:t>
      </w:r>
      <w:r>
        <w:rPr>
          <w:rFonts w:hint="default" w:ascii="Times New Roman" w:hAnsi="Times New Roman" w:eastAsia="仿宋" w:cs="Times New Roman"/>
          <w:color w:val="000000" w:themeColor="text1"/>
          <w:kern w:val="0"/>
          <w:sz w:val="32"/>
          <w:szCs w:val="32"/>
          <w:shd w:val="clear" w:color="auto" w:fill="auto"/>
          <w:lang w:eastAsia="zh-CN"/>
          <w14:textFill>
            <w14:solidFill>
              <w14:schemeClr w14:val="tx1"/>
            </w14:solidFill>
          </w14:textFill>
        </w:rPr>
        <w:t>坚持把党的政治建设放在首位，不断提高政治站位，对标省委重大决策部署，充分发挥党建引领保障作用，着力打造国企党建“升级版”。将落实全面从严治党情况纳入国企年度综合考核，压实国有企业党建主体责任，坚持打好高质量发展、改革攻坚、从严治党“三大战役”，为打造国企改革“江西样板”注入强大动力，切实发挥国有企业</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在经济社会发展中的安全支撑作用，</w:t>
      </w:r>
      <w:r>
        <w:rPr>
          <w:rFonts w:hint="default" w:ascii="Times New Roman" w:hAnsi="Times New Roman" w:eastAsia="仿宋" w:cs="Times New Roman"/>
          <w:color w:val="000000" w:themeColor="text1"/>
          <w:kern w:val="0"/>
          <w:sz w:val="32"/>
          <w:szCs w:val="32"/>
          <w:shd w:val="clear" w:color="auto" w:fill="auto"/>
          <w:lang w:eastAsia="zh-CN"/>
          <w14:textFill>
            <w14:solidFill>
              <w14:schemeClr w14:val="tx1"/>
            </w14:solidFill>
          </w14:textFill>
        </w:rPr>
        <w:t>不断彰显国资国企责任担当。</w:t>
      </w:r>
    </w:p>
    <w:p w14:paraId="56657B5E">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default" w:ascii="Times New Roman" w:hAnsi="Times New Roman" w:eastAsia="仿宋" w:cs="Times New Roman"/>
          <w:color w:val="000000" w:themeColor="text1"/>
          <w:kern w:val="0"/>
          <w:sz w:val="32"/>
          <w:szCs w:val="32"/>
          <w:shd w:val="clear" w:color="auto" w:fill="auto"/>
          <w:lang w:eastAsia="zh-CN"/>
          <w14:textFill>
            <w14:solidFill>
              <w14:schemeClr w14:val="tx1"/>
            </w14:solidFill>
          </w14:textFill>
        </w:rPr>
      </w:pPr>
      <w:r>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t>2.</w:t>
      </w:r>
      <w:r>
        <w:rPr>
          <w:rFonts w:hint="default"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t>加大改革创新，推动国有企业高质量发展。</w:t>
      </w:r>
      <w:r>
        <w:rPr>
          <w:rFonts w:hint="eastAsia" w:ascii="Times New Roman" w:hAnsi="Times New Roman" w:eastAsia="仿宋" w:cs="Times New Roman"/>
          <w:color w:val="000000" w:themeColor="text1"/>
          <w:kern w:val="0"/>
          <w:sz w:val="32"/>
          <w:szCs w:val="32"/>
          <w:highlight w:val="none"/>
          <w:shd w:val="clear" w:color="auto" w:fill="auto"/>
          <w:lang w:val="en-US" w:eastAsia="zh-CN"/>
          <w14:textFill>
            <w14:solidFill>
              <w14:schemeClr w14:val="tx1"/>
            </w14:solidFill>
          </w14:textFill>
        </w:rPr>
        <w:t>推动国有企业战略性重组，重建国有企业架构，提升国有资本配置效率。进一步厘清企业的主责主业，推动企业聚力发展主业，走专业化发展道路，不断提高运营效率和整体竞争力。</w:t>
      </w:r>
      <w:r>
        <w:rPr>
          <w:rFonts w:hint="default" w:ascii="Times New Roman" w:hAnsi="Times New Roman" w:eastAsia="仿宋" w:cs="Times New Roman"/>
          <w:color w:val="000000" w:themeColor="text1"/>
          <w:kern w:val="0"/>
          <w:sz w:val="32"/>
          <w:szCs w:val="32"/>
          <w:highlight w:val="none"/>
          <w:shd w:val="clear" w:color="auto" w:fill="auto"/>
          <w:lang w:eastAsia="zh-CN"/>
          <w14:textFill>
            <w14:solidFill>
              <w14:schemeClr w14:val="tx1"/>
            </w14:solidFill>
          </w14:textFill>
        </w:rPr>
        <w:t>进一步</w:t>
      </w:r>
      <w:r>
        <w:rPr>
          <w:rFonts w:hint="eastAsia" w:ascii="Times New Roman" w:hAnsi="Times New Roman" w:eastAsia="仿宋" w:cs="Times New Roman"/>
          <w:color w:val="000000" w:themeColor="text1"/>
          <w:kern w:val="0"/>
          <w:sz w:val="32"/>
          <w:szCs w:val="32"/>
          <w:highlight w:val="none"/>
          <w:shd w:val="clear" w:color="auto" w:fill="auto"/>
          <w:lang w:val="en-US" w:eastAsia="zh-CN"/>
          <w14:textFill>
            <w14:solidFill>
              <w14:schemeClr w14:val="tx1"/>
            </w14:solidFill>
          </w14:textFill>
        </w:rPr>
        <w:t>深化三项制度改革和配套三项管理机制</w:t>
      </w:r>
      <w:r>
        <w:rPr>
          <w:rFonts w:hint="default" w:ascii="Times New Roman" w:hAnsi="Times New Roman" w:eastAsia="仿宋" w:cs="Times New Roman"/>
          <w:color w:val="000000" w:themeColor="text1"/>
          <w:kern w:val="0"/>
          <w:sz w:val="32"/>
          <w:szCs w:val="32"/>
          <w:highlight w:val="none"/>
          <w:shd w:val="clear" w:color="auto" w:fill="auto"/>
          <w:lang w:eastAsia="zh-CN"/>
          <w14:textFill>
            <w14:solidFill>
              <w14:schemeClr w14:val="tx1"/>
            </w14:solidFill>
          </w14:textFill>
        </w:rPr>
        <w:t>，持续完善公司治理结构</w:t>
      </w:r>
      <w:r>
        <w:rPr>
          <w:rFonts w:hint="eastAsia" w:ascii="Times New Roman" w:hAnsi="Times New Roman" w:eastAsia="仿宋" w:cs="Times New Roman"/>
          <w:color w:val="000000" w:themeColor="text1"/>
          <w:kern w:val="0"/>
          <w:sz w:val="32"/>
          <w:szCs w:val="32"/>
          <w:highlight w:val="none"/>
          <w:shd w:val="clear" w:color="auto" w:fill="auto"/>
          <w:lang w:eastAsia="zh-CN"/>
          <w14:textFill>
            <w14:solidFill>
              <w14:schemeClr w14:val="tx1"/>
            </w14:solidFill>
          </w14:textFill>
        </w:rPr>
        <w:t>，</w:t>
      </w:r>
      <w:r>
        <w:rPr>
          <w:rFonts w:hint="eastAsia" w:ascii="Times New Roman" w:hAnsi="Times New Roman" w:eastAsia="仿宋" w:cs="Times New Roman"/>
          <w:color w:val="000000" w:themeColor="text1"/>
          <w:kern w:val="0"/>
          <w:sz w:val="32"/>
          <w:szCs w:val="32"/>
          <w:highlight w:val="none"/>
          <w:shd w:val="clear" w:color="auto" w:fill="auto"/>
          <w:lang w:val="en-US" w:eastAsia="zh-CN"/>
          <w14:textFill>
            <w14:solidFill>
              <w14:schemeClr w14:val="tx1"/>
            </w14:solidFill>
          </w14:textFill>
        </w:rPr>
        <w:t>提升管理质效</w:t>
      </w:r>
      <w:r>
        <w:rPr>
          <w:rFonts w:hint="default" w:ascii="Times New Roman" w:hAnsi="Times New Roman" w:eastAsia="仿宋" w:cs="Times New Roman"/>
          <w:color w:val="000000" w:themeColor="text1"/>
          <w:kern w:val="0"/>
          <w:sz w:val="32"/>
          <w:szCs w:val="32"/>
          <w:highlight w:val="none"/>
          <w:shd w:val="clear" w:color="auto" w:fill="auto"/>
          <w:lang w:eastAsia="zh-CN"/>
          <w14:textFill>
            <w14:solidFill>
              <w14:schemeClr w14:val="tx1"/>
            </w14:solidFill>
          </w14:textFill>
        </w:rPr>
        <w:t>。</w:t>
      </w:r>
      <w:r>
        <w:rPr>
          <w:rFonts w:hint="default" w:ascii="Times New Roman" w:hAnsi="Times New Roman" w:eastAsia="仿宋" w:cs="Times New Roman"/>
          <w:color w:val="000000" w:themeColor="text1"/>
          <w:kern w:val="0"/>
          <w:sz w:val="32"/>
          <w:szCs w:val="32"/>
          <w:shd w:val="clear" w:color="auto" w:fill="auto"/>
          <w:lang w:eastAsia="zh-CN"/>
          <w14:textFill>
            <w14:solidFill>
              <w14:schemeClr w14:val="tx1"/>
            </w14:solidFill>
          </w14:textFill>
        </w:rPr>
        <w:t>积极扩大有效投资，为全县经济稳中有进作出新的贡献。</w:t>
      </w:r>
    </w:p>
    <w:p w14:paraId="09D77AB9">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pP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 xml:space="preserve"> </w:t>
      </w:r>
      <w:r>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t xml:space="preserve"> 3.持续强化监管力度。</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强化统筹提升效能，深化完善国资监管大格局。进一步统筹各方监督力量，不断完善出资人监督、审计监督、监事会监督、内部监督、责任追究的监督工作闭环，健全完善综合监督体系，切实提高国有资产监管效能。</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修订完善与现行企业发展不相适应的相关管理制度，</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 xml:space="preserve">进一步明晰国资监管权责边界，完善权力和责任清单，明确厦职重点，厘清职责边界。进一步优化经营业绩考核，推动县属国有企业优化内部分类考核，完善“可量化、可考核”指标体系，强化考核“指挥棒”作用。全面推进国资国企信息化基础设施建设，压实国有企业重大风险防范主体责任，抓好安全生产、财务领域等各类风险防范化解。 </w:t>
      </w:r>
    </w:p>
    <w:p w14:paraId="3ED5B612">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left"/>
        <w:textAlignment w:val="auto"/>
        <w:rPr>
          <w:rFonts w:hint="eastAsia" w:ascii="黑体" w:hAnsi="黑体" w:eastAsia="黑体" w:cs="黑体"/>
          <w:b/>
          <w:bCs/>
          <w:color w:val="000000" w:themeColor="text1"/>
          <w:kern w:val="0"/>
          <w:sz w:val="32"/>
          <w:szCs w:val="32"/>
          <w:shd w:val="clear" w:color="auto" w:fill="auto"/>
          <w:lang w:val="en-US" w:eastAsia="zh-CN"/>
          <w14:textFill>
            <w14:solidFill>
              <w14:schemeClr w14:val="tx1"/>
            </w14:solidFill>
          </w14:textFill>
        </w:rPr>
      </w:pPr>
      <w:r>
        <w:rPr>
          <w:rFonts w:hint="eastAsia" w:ascii="黑体" w:hAnsi="黑体" w:eastAsia="黑体" w:cs="黑体"/>
          <w:b/>
          <w:bCs/>
          <w:color w:val="000000" w:themeColor="text1"/>
          <w:kern w:val="0"/>
          <w:sz w:val="32"/>
          <w:szCs w:val="32"/>
          <w:shd w:val="clear" w:color="auto" w:fill="auto"/>
          <w:lang w:val="en-US" w:eastAsia="zh-CN"/>
          <w14:textFill>
            <w14:solidFill>
              <w14:schemeClr w14:val="tx1"/>
            </w14:solidFill>
          </w14:textFill>
        </w:rPr>
        <w:t>三、自然资源国有资产管理情况</w:t>
      </w:r>
    </w:p>
    <w:p w14:paraId="36F16BBE">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left"/>
        <w:textAlignment w:val="auto"/>
        <w:rPr>
          <w:rFonts w:hint="default"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pPr>
      <w:r>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t>（一）主要国有自然资源资产总量情况</w:t>
      </w:r>
    </w:p>
    <w:p w14:paraId="0EACBCDD">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left"/>
        <w:textAlignment w:val="auto"/>
        <w:rPr>
          <w:rFonts w:hint="default" w:ascii="Times New Roman" w:hAnsi="Times New Roman" w:eastAsia="仿宋" w:cs="Times New Roman"/>
          <w:color w:val="000000"/>
          <w:kern w:val="0"/>
          <w:sz w:val="32"/>
          <w:szCs w:val="32"/>
        </w:rPr>
      </w:pPr>
      <w:r>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t>一是土地资源方面。</w:t>
      </w:r>
      <w:r>
        <w:rPr>
          <w:rFonts w:hint="default"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2023年底，玉山县全域国土调查总面积173233.12公顷，其中现状建设用地1</w:t>
      </w:r>
      <w:r>
        <w:rPr>
          <w:rFonts w:hint="default" w:ascii="Times New Roman" w:hAnsi="Times New Roman" w:eastAsia="仿宋" w:cs="Times New Roman"/>
          <w:b w:val="0"/>
          <w:i w:val="0"/>
          <w:caps w:val="0"/>
          <w:color w:val="auto"/>
          <w:spacing w:val="0"/>
          <w:w w:val="100"/>
          <w:kern w:val="0"/>
          <w:sz w:val="32"/>
          <w:szCs w:val="32"/>
          <w:lang w:val="en-US" w:eastAsia="zh-CN"/>
        </w:rPr>
        <w:t>6730.74</w:t>
      </w:r>
      <w:r>
        <w:rPr>
          <w:rFonts w:hint="default" w:ascii="Times New Roman" w:hAnsi="Times New Roman" w:eastAsia="仿宋" w:cs="Times New Roman"/>
          <w:b w:val="0"/>
          <w:i w:val="0"/>
          <w:caps w:val="0"/>
          <w:color w:val="auto"/>
          <w:spacing w:val="0"/>
          <w:w w:val="100"/>
          <w:kern w:val="0"/>
          <w:sz w:val="32"/>
          <w:szCs w:val="32"/>
        </w:rPr>
        <w:t>公顷，农用地</w:t>
      </w:r>
      <w:r>
        <w:rPr>
          <w:rFonts w:hint="default" w:ascii="Times New Roman" w:hAnsi="Times New Roman" w:eastAsia="仿宋" w:cs="Times New Roman"/>
          <w:b w:val="0"/>
          <w:i w:val="0"/>
          <w:caps w:val="0"/>
          <w:color w:val="auto"/>
          <w:spacing w:val="0"/>
          <w:w w:val="100"/>
          <w:kern w:val="0"/>
          <w:sz w:val="32"/>
          <w:szCs w:val="32"/>
          <w:lang w:val="en-US" w:eastAsia="zh-CN"/>
        </w:rPr>
        <w:t>154149.1</w:t>
      </w:r>
      <w:r>
        <w:rPr>
          <w:rFonts w:hint="default" w:ascii="Times New Roman" w:hAnsi="Times New Roman" w:eastAsia="仿宋" w:cs="Times New Roman"/>
          <w:b w:val="0"/>
          <w:i w:val="0"/>
          <w:caps w:val="0"/>
          <w:color w:val="auto"/>
          <w:spacing w:val="0"/>
          <w:w w:val="100"/>
          <w:kern w:val="0"/>
          <w:sz w:val="32"/>
          <w:szCs w:val="32"/>
        </w:rPr>
        <w:t>公顷，未利用地</w:t>
      </w:r>
      <w:r>
        <w:rPr>
          <w:rFonts w:hint="default" w:ascii="Times New Roman" w:hAnsi="Times New Roman" w:eastAsia="仿宋" w:cs="Times New Roman"/>
          <w:b w:val="0"/>
          <w:i w:val="0"/>
          <w:caps w:val="0"/>
          <w:color w:val="auto"/>
          <w:spacing w:val="0"/>
          <w:w w:val="100"/>
          <w:kern w:val="0"/>
          <w:sz w:val="32"/>
          <w:szCs w:val="32"/>
          <w:lang w:val="en-US" w:eastAsia="zh-CN"/>
        </w:rPr>
        <w:t>2353.27</w:t>
      </w:r>
      <w:r>
        <w:rPr>
          <w:rFonts w:hint="default" w:ascii="Times New Roman" w:hAnsi="Times New Roman" w:eastAsia="仿宋" w:cs="Times New Roman"/>
          <w:b w:val="0"/>
          <w:i w:val="0"/>
          <w:caps w:val="0"/>
          <w:color w:val="auto"/>
          <w:spacing w:val="0"/>
          <w:w w:val="100"/>
          <w:kern w:val="0"/>
          <w:sz w:val="32"/>
          <w:szCs w:val="32"/>
        </w:rPr>
        <w:t>公顷，公园</w:t>
      </w:r>
      <w:r>
        <w:rPr>
          <w:rFonts w:hint="default" w:ascii="Times New Roman" w:hAnsi="Times New Roman" w:eastAsia="仿宋" w:cs="Times New Roman"/>
          <w:b w:val="0"/>
          <w:i w:val="0"/>
          <w:caps w:val="0"/>
          <w:color w:val="auto"/>
          <w:spacing w:val="0"/>
          <w:w w:val="100"/>
          <w:kern w:val="0"/>
          <w:sz w:val="32"/>
          <w:szCs w:val="32"/>
          <w:lang w:eastAsia="zh-CN"/>
        </w:rPr>
        <w:t>、</w:t>
      </w:r>
      <w:r>
        <w:rPr>
          <w:rFonts w:hint="default" w:ascii="Times New Roman" w:hAnsi="Times New Roman" w:eastAsia="仿宋" w:cs="Times New Roman"/>
          <w:b w:val="0"/>
          <w:i w:val="0"/>
          <w:caps w:val="0"/>
          <w:color w:val="auto"/>
          <w:spacing w:val="0"/>
          <w:w w:val="100"/>
          <w:kern w:val="0"/>
          <w:sz w:val="32"/>
          <w:szCs w:val="32"/>
        </w:rPr>
        <w:t>公共绿地、河流等生态型用地共</w:t>
      </w:r>
      <w:r>
        <w:rPr>
          <w:rFonts w:hint="default" w:ascii="Times New Roman" w:hAnsi="Times New Roman" w:eastAsia="仿宋" w:cs="Times New Roman"/>
          <w:b w:val="0"/>
          <w:i w:val="0"/>
          <w:caps w:val="0"/>
          <w:color w:val="auto"/>
          <w:spacing w:val="0"/>
          <w:w w:val="100"/>
          <w:kern w:val="0"/>
          <w:sz w:val="32"/>
          <w:szCs w:val="32"/>
          <w:lang w:val="en-US" w:eastAsia="zh-CN"/>
        </w:rPr>
        <w:t>1701</w:t>
      </w:r>
      <w:r>
        <w:rPr>
          <w:rFonts w:hint="default" w:ascii="Times New Roman" w:hAnsi="Times New Roman" w:eastAsia="仿宋" w:cs="Times New Roman"/>
          <w:b w:val="0"/>
          <w:i w:val="0"/>
          <w:caps w:val="0"/>
          <w:color w:val="auto"/>
          <w:spacing w:val="0"/>
          <w:w w:val="100"/>
          <w:kern w:val="0"/>
          <w:sz w:val="32"/>
          <w:szCs w:val="32"/>
        </w:rPr>
        <w:t>公顷</w:t>
      </w:r>
      <w:r>
        <w:rPr>
          <w:rFonts w:hint="default" w:ascii="Times New Roman" w:hAnsi="Times New Roman" w:eastAsia="仿宋" w:cs="Times New Roman"/>
          <w:b w:val="0"/>
          <w:i w:val="0"/>
          <w:caps w:val="0"/>
          <w:color w:val="auto"/>
          <w:spacing w:val="0"/>
          <w:w w:val="100"/>
          <w:kern w:val="0"/>
          <w:sz w:val="32"/>
          <w:szCs w:val="32"/>
          <w:lang w:eastAsia="zh-CN"/>
        </w:rPr>
        <w:t>。</w:t>
      </w:r>
      <w:r>
        <w:rPr>
          <w:rFonts w:hint="default" w:ascii="Times New Roman" w:hAnsi="Times New Roman" w:eastAsia="仿宋" w:cs="Times New Roman"/>
          <w:b w:val="0"/>
          <w:i w:val="0"/>
          <w:caps w:val="0"/>
          <w:color w:val="auto"/>
          <w:spacing w:val="0"/>
          <w:w w:val="100"/>
          <w:kern w:val="0"/>
          <w:sz w:val="32"/>
          <w:szCs w:val="32"/>
        </w:rPr>
        <w:t>20</w:t>
      </w:r>
      <w:r>
        <w:rPr>
          <w:rFonts w:hint="default" w:ascii="Times New Roman" w:hAnsi="Times New Roman" w:eastAsia="仿宋" w:cs="Times New Roman"/>
          <w:b w:val="0"/>
          <w:i w:val="0"/>
          <w:caps w:val="0"/>
          <w:color w:val="auto"/>
          <w:spacing w:val="0"/>
          <w:w w:val="100"/>
          <w:kern w:val="0"/>
          <w:sz w:val="32"/>
          <w:szCs w:val="32"/>
          <w:lang w:val="en-US" w:eastAsia="zh-CN"/>
        </w:rPr>
        <w:t>23</w:t>
      </w:r>
      <w:r>
        <w:rPr>
          <w:rFonts w:hint="default" w:ascii="Times New Roman" w:hAnsi="Times New Roman" w:eastAsia="仿宋" w:cs="Times New Roman"/>
          <w:b w:val="0"/>
          <w:i w:val="0"/>
          <w:caps w:val="0"/>
          <w:color w:val="auto"/>
          <w:spacing w:val="0"/>
          <w:w w:val="100"/>
          <w:kern w:val="0"/>
          <w:sz w:val="32"/>
          <w:szCs w:val="32"/>
        </w:rPr>
        <w:t>年末收储面积为</w:t>
      </w:r>
      <w:r>
        <w:rPr>
          <w:rFonts w:hint="default" w:ascii="Times New Roman" w:hAnsi="Times New Roman" w:eastAsia="仿宋" w:cs="Times New Roman"/>
          <w:b w:val="0"/>
          <w:i w:val="0"/>
          <w:caps w:val="0"/>
          <w:color w:val="auto"/>
          <w:spacing w:val="0"/>
          <w:w w:val="100"/>
          <w:kern w:val="0"/>
          <w:sz w:val="32"/>
          <w:szCs w:val="32"/>
          <w:lang w:val="en-US" w:eastAsia="zh-CN"/>
        </w:rPr>
        <w:t>13.14</w:t>
      </w:r>
      <w:r>
        <w:rPr>
          <w:rFonts w:hint="default" w:ascii="Times New Roman" w:hAnsi="Times New Roman" w:eastAsia="仿宋" w:cs="Times New Roman"/>
          <w:b w:val="0"/>
          <w:i w:val="0"/>
          <w:caps w:val="0"/>
          <w:color w:val="auto"/>
          <w:spacing w:val="0"/>
          <w:w w:val="100"/>
          <w:kern w:val="0"/>
          <w:sz w:val="32"/>
          <w:szCs w:val="32"/>
        </w:rPr>
        <w:t>公顷，账面价值约为</w:t>
      </w:r>
      <w:r>
        <w:rPr>
          <w:rFonts w:hint="default" w:ascii="Times New Roman" w:hAnsi="Times New Roman" w:eastAsia="仿宋" w:cs="Times New Roman"/>
          <w:b w:val="0"/>
          <w:i w:val="0"/>
          <w:caps w:val="0"/>
          <w:color w:val="auto"/>
          <w:spacing w:val="0"/>
          <w:w w:val="100"/>
          <w:kern w:val="0"/>
          <w:sz w:val="32"/>
          <w:szCs w:val="32"/>
          <w:lang w:val="en-US" w:eastAsia="zh-CN"/>
        </w:rPr>
        <w:t>1.04</w:t>
      </w:r>
      <w:r>
        <w:rPr>
          <w:rFonts w:hint="default" w:ascii="Times New Roman" w:hAnsi="Times New Roman" w:eastAsia="仿宋" w:cs="Times New Roman"/>
          <w:b w:val="0"/>
          <w:i w:val="0"/>
          <w:caps w:val="0"/>
          <w:color w:val="auto"/>
          <w:spacing w:val="0"/>
          <w:w w:val="100"/>
          <w:kern w:val="0"/>
          <w:sz w:val="32"/>
          <w:szCs w:val="32"/>
        </w:rPr>
        <w:t>亿元</w:t>
      </w:r>
      <w:r>
        <w:rPr>
          <w:rFonts w:hint="default" w:ascii="Times New Roman" w:hAnsi="Times New Roman" w:eastAsia="仿宋" w:cs="Times New Roman"/>
          <w:b w:val="0"/>
          <w:i w:val="0"/>
          <w:caps w:val="0"/>
          <w:color w:val="auto"/>
          <w:spacing w:val="0"/>
          <w:w w:val="100"/>
          <w:kern w:val="0"/>
          <w:sz w:val="32"/>
          <w:szCs w:val="32"/>
          <w:lang w:val="en-US" w:eastAsia="zh-CN"/>
        </w:rPr>
        <w:t>。</w:t>
      </w:r>
      <w:r>
        <w:rPr>
          <w:rFonts w:hint="default" w:ascii="Times New Roman" w:hAnsi="Times New Roman" w:eastAsia="仿宋" w:cs="Times New Roman"/>
          <w:color w:val="000000"/>
          <w:kern w:val="0"/>
          <w:sz w:val="32"/>
          <w:szCs w:val="32"/>
        </w:rPr>
        <w:t>至202</w:t>
      </w:r>
      <w:r>
        <w:rPr>
          <w:rFonts w:hint="eastAsia" w:ascii="Times New Roman" w:hAnsi="Times New Roman" w:eastAsia="仿宋" w:cs="Times New Roman"/>
          <w:color w:val="000000"/>
          <w:kern w:val="0"/>
          <w:sz w:val="32"/>
          <w:szCs w:val="32"/>
          <w:lang w:val="en-US" w:eastAsia="zh-CN"/>
        </w:rPr>
        <w:t>3</w:t>
      </w:r>
      <w:r>
        <w:rPr>
          <w:rFonts w:hint="default" w:ascii="Times New Roman" w:hAnsi="Times New Roman" w:eastAsia="仿宋" w:cs="Times New Roman"/>
          <w:color w:val="000000"/>
          <w:kern w:val="0"/>
          <w:sz w:val="32"/>
          <w:szCs w:val="32"/>
        </w:rPr>
        <w:t>年底，确保全县耕地保有量不少</w:t>
      </w:r>
      <w:r>
        <w:rPr>
          <w:rFonts w:hint="eastAsia" w:ascii="Times New Roman" w:hAnsi="Times New Roman" w:eastAsia="仿宋" w:cs="Times New Roman"/>
          <w:color w:val="000000"/>
          <w:kern w:val="0"/>
          <w:sz w:val="32"/>
          <w:szCs w:val="32"/>
          <w:lang w:val="en-US" w:eastAsia="zh-CN"/>
        </w:rPr>
        <w:t>36.02</w:t>
      </w:r>
      <w:r>
        <w:rPr>
          <w:rFonts w:hint="default" w:ascii="Times New Roman" w:hAnsi="Times New Roman" w:eastAsia="仿宋" w:cs="Times New Roman"/>
          <w:color w:val="000000"/>
          <w:kern w:val="0"/>
          <w:sz w:val="32"/>
          <w:szCs w:val="32"/>
        </w:rPr>
        <w:t>万亩，永久基本农田划定面积为</w:t>
      </w:r>
      <w:r>
        <w:rPr>
          <w:rFonts w:hint="eastAsia" w:ascii="Times New Roman" w:hAnsi="Times New Roman" w:eastAsia="仿宋" w:cs="Times New Roman"/>
          <w:color w:val="000000"/>
          <w:kern w:val="0"/>
          <w:sz w:val="32"/>
          <w:szCs w:val="32"/>
          <w:lang w:val="en-US" w:eastAsia="zh-CN"/>
        </w:rPr>
        <w:t>31.82</w:t>
      </w:r>
      <w:r>
        <w:rPr>
          <w:rFonts w:hint="default" w:ascii="Times New Roman" w:hAnsi="Times New Roman" w:eastAsia="仿宋" w:cs="Times New Roman"/>
          <w:color w:val="000000"/>
          <w:kern w:val="0"/>
          <w:sz w:val="32"/>
          <w:szCs w:val="32"/>
        </w:rPr>
        <w:t>万亩。</w:t>
      </w:r>
    </w:p>
    <w:p w14:paraId="6043DCC4">
      <w:pPr>
        <w:ind w:firstLine="643" w:firstLineChars="200"/>
        <w:rPr>
          <w:rFonts w:hint="eastAsia" w:ascii="Times New Roman" w:hAnsi="Times New Roman" w:eastAsia="仿宋" w:cs="Times New Roman"/>
          <w:b w:val="0"/>
          <w:i w:val="0"/>
          <w:caps w:val="0"/>
          <w:color w:val="auto"/>
          <w:spacing w:val="0"/>
          <w:w w:val="100"/>
          <w:kern w:val="0"/>
          <w:sz w:val="32"/>
          <w:szCs w:val="32"/>
          <w:lang w:val="en-US" w:eastAsia="zh-CN"/>
        </w:rPr>
      </w:pPr>
      <w:r>
        <w:rPr>
          <w:rFonts w:hint="eastAsia" w:ascii="Times New Roman" w:hAnsi="Times New Roman" w:eastAsia="仿宋" w:cs="Times New Roman"/>
          <w:b/>
          <w:bCs/>
          <w:i w:val="0"/>
          <w:caps w:val="0"/>
          <w:color w:val="auto"/>
          <w:spacing w:val="0"/>
          <w:w w:val="100"/>
          <w:kern w:val="0"/>
          <w:sz w:val="32"/>
          <w:szCs w:val="32"/>
          <w:lang w:val="en-US" w:eastAsia="zh-CN"/>
        </w:rPr>
        <w:t>二是矿产资源方面。</w:t>
      </w:r>
      <w:r>
        <w:rPr>
          <w:rFonts w:hint="eastAsia" w:ascii="Times New Roman" w:hAnsi="Times New Roman" w:eastAsia="仿宋" w:cs="Times New Roman"/>
          <w:b w:val="0"/>
          <w:i w:val="0"/>
          <w:caps w:val="0"/>
          <w:color w:val="auto"/>
          <w:spacing w:val="0"/>
          <w:w w:val="100"/>
          <w:kern w:val="0"/>
          <w:sz w:val="32"/>
          <w:szCs w:val="32"/>
          <w:lang w:val="en-US" w:eastAsia="zh-CN"/>
        </w:rPr>
        <w:t>截止2023年底，已发现矿产29种，查明资源储量的矿种24种，发现矿产地66处，优势矿种有石灰石、萤石、饰面用板岩、饰面用大理岩等。目前全县共有探矿权27个，采矿权37个，在有效期内采矿权28个，其它9个采矿权在有效期内提交了延续申请，未办理采矿延续登记手续。2023年出让玉山县南山乡岩坞建筑用灰岩矿采矿权，矿权收益5034.61万元。</w:t>
      </w:r>
    </w:p>
    <w:p w14:paraId="7B5C114B">
      <w:pPr>
        <w:ind w:firstLine="643" w:firstLineChars="200"/>
        <w:rPr>
          <w:rFonts w:hint="eastAsia" w:ascii="Times New Roman" w:hAnsi="Times New Roman" w:eastAsia="仿宋" w:cs="Times New Roman"/>
          <w:color w:val="auto"/>
          <w:kern w:val="2"/>
          <w:sz w:val="32"/>
          <w:szCs w:val="32"/>
          <w:lang w:val="en-US" w:eastAsia="zh-CN" w:bidi="ar-SA"/>
        </w:rPr>
      </w:pPr>
      <w:r>
        <w:rPr>
          <w:rFonts w:hint="eastAsia" w:ascii="Times New Roman" w:hAnsi="Times New Roman" w:eastAsia="仿宋" w:cs="Times New Roman"/>
          <w:b/>
          <w:bCs/>
          <w:i w:val="0"/>
          <w:caps w:val="0"/>
          <w:color w:val="auto"/>
          <w:spacing w:val="0"/>
          <w:w w:val="100"/>
          <w:kern w:val="0"/>
          <w:sz w:val="32"/>
          <w:szCs w:val="32"/>
          <w:lang w:val="en-US" w:eastAsia="zh-CN"/>
        </w:rPr>
        <w:t>三是林地资源方面。</w:t>
      </w:r>
      <w:r>
        <w:rPr>
          <w:rFonts w:hint="eastAsia" w:ascii="Times New Roman" w:hAnsi="Times New Roman" w:eastAsia="仿宋" w:cs="Times New Roman"/>
          <w:color w:val="auto"/>
          <w:kern w:val="2"/>
          <w:sz w:val="32"/>
          <w:szCs w:val="32"/>
          <w:lang w:val="en-US" w:eastAsia="zh-CN" w:bidi="ar-SA"/>
        </w:rPr>
        <w:t>我县现有林地面积155.08万亩，其中乔木林地面积123.7万亩，竹林地面积6.6万亩，灌木林地面积22万亩，疏林地面积0.47万亩，未成林地、苗圃地、宜林地等其他林地面积2.31万亩，活立木总蓄积475.6万立方米，乔木林每公顷蓄积54.5立方米，森林覆盖率66.12%，林木绿化率68.71%。</w:t>
      </w:r>
    </w:p>
    <w:p w14:paraId="0F3EE6F9">
      <w:pPr>
        <w:ind w:firstLine="643" w:firstLineChars="200"/>
        <w:rPr>
          <w:rFonts w:hint="default" w:ascii="Times New Roman" w:hAnsi="Times New Roman" w:eastAsia="仿宋" w:cs="Times New Roman"/>
          <w:color w:val="000000"/>
          <w:kern w:val="0"/>
          <w:sz w:val="32"/>
          <w:szCs w:val="32"/>
        </w:rPr>
      </w:pPr>
      <w:r>
        <w:rPr>
          <w:rFonts w:hint="eastAsia" w:ascii="Times New Roman" w:hAnsi="Times New Roman" w:eastAsia="仿宋" w:cs="Times New Roman"/>
          <w:b/>
          <w:bCs/>
          <w:color w:val="auto"/>
          <w:kern w:val="2"/>
          <w:sz w:val="32"/>
          <w:szCs w:val="32"/>
          <w:lang w:val="en-US" w:eastAsia="zh-CN" w:bidi="ar-SA"/>
        </w:rPr>
        <w:t>四是水资源方面。</w:t>
      </w:r>
      <w:r>
        <w:rPr>
          <w:rFonts w:hint="eastAsia" w:ascii="Times New Roman" w:hAnsi="Times New Roman" w:eastAsia="仿宋" w:cs="Times New Roman"/>
          <w:color w:val="auto"/>
          <w:kern w:val="2"/>
          <w:sz w:val="32"/>
          <w:szCs w:val="32"/>
          <w:lang w:val="en-US" w:eastAsia="zh-CN" w:bidi="ar-SA"/>
        </w:rPr>
        <w:t>2023年，玉山县降水量1805.1毫米，折合降水总量312711万立方米。比上年减少13.9%，与多年平均值相比减少3.6%，属于平水年份。地表水资源量191378万立方米，折合年径流深1104.7毫米，比上年减少22.8%,比多年平均减少9.5%，人均水资源量为3765立方米。地表水控制利用率10.8%。地下水资源量42905万立方米。</w:t>
      </w:r>
      <w:r>
        <w:rPr>
          <w:rFonts w:hint="default" w:ascii="Times New Roman" w:hAnsi="Times New Roman" w:eastAsia="仿宋" w:cs="Times New Roman"/>
          <w:color w:val="auto"/>
          <w:kern w:val="2"/>
          <w:sz w:val="32"/>
          <w:szCs w:val="32"/>
          <w:lang w:val="en-US" w:eastAsia="zh-CN" w:bidi="ar-SA"/>
        </w:rPr>
        <w:t>2023年，玉山县入</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县</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境水量76207万立方米，出</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县</w:t>
      </w:r>
      <w:r>
        <w:rPr>
          <w:rFonts w:hint="eastAsia" w:ascii="Times New Roman" w:hAnsi="Times New Roman" w:eastAsia="仿宋" w:cs="Times New Roman"/>
          <w:color w:val="auto"/>
          <w:kern w:val="2"/>
          <w:sz w:val="32"/>
          <w:szCs w:val="32"/>
          <w:lang w:val="en-US" w:eastAsia="zh-CN" w:bidi="ar-SA"/>
        </w:rPr>
        <w:t>）</w:t>
      </w:r>
      <w:r>
        <w:rPr>
          <w:rFonts w:hint="default" w:ascii="Times New Roman" w:hAnsi="Times New Roman" w:eastAsia="仿宋" w:cs="Times New Roman"/>
          <w:color w:val="auto"/>
          <w:kern w:val="2"/>
          <w:sz w:val="32"/>
          <w:szCs w:val="32"/>
          <w:lang w:val="en-US" w:eastAsia="zh-CN" w:bidi="ar-SA"/>
        </w:rPr>
        <w:t>境水量254064万立方米。</w:t>
      </w:r>
    </w:p>
    <w:p w14:paraId="40B3B085">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default" w:ascii="Times New Roman" w:hAnsi="Times New Roman" w:eastAsia="仿宋" w:cs="Times New Roman"/>
          <w:b/>
          <w:bCs/>
          <w:color w:val="000000"/>
          <w:kern w:val="0"/>
          <w:sz w:val="32"/>
          <w:szCs w:val="32"/>
        </w:rPr>
      </w:pPr>
      <w:r>
        <w:rPr>
          <w:rFonts w:hint="default" w:ascii="Times New Roman" w:hAnsi="Times New Roman" w:eastAsia="仿宋" w:cs="Times New Roman"/>
          <w:b/>
          <w:bCs/>
          <w:color w:val="000000"/>
          <w:kern w:val="0"/>
          <w:sz w:val="32"/>
          <w:szCs w:val="32"/>
        </w:rPr>
        <w:t>（</w:t>
      </w:r>
      <w:r>
        <w:rPr>
          <w:rFonts w:hint="eastAsia" w:ascii="Times New Roman" w:hAnsi="Times New Roman" w:eastAsia="仿宋" w:cs="Times New Roman"/>
          <w:b/>
          <w:bCs/>
          <w:color w:val="000000"/>
          <w:kern w:val="0"/>
          <w:sz w:val="32"/>
          <w:szCs w:val="32"/>
          <w:lang w:val="en-US" w:eastAsia="zh-CN"/>
        </w:rPr>
        <w:t>二</w:t>
      </w:r>
      <w:r>
        <w:rPr>
          <w:rFonts w:hint="default" w:ascii="Times New Roman" w:hAnsi="Times New Roman" w:eastAsia="仿宋" w:cs="Times New Roman"/>
          <w:b/>
          <w:bCs/>
          <w:color w:val="000000"/>
          <w:kern w:val="0"/>
          <w:sz w:val="32"/>
          <w:szCs w:val="32"/>
        </w:rPr>
        <w:t>）自然资源资产管理情况</w:t>
      </w:r>
    </w:p>
    <w:p w14:paraId="641F4AEB">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default" w:ascii="Times New Roman" w:hAnsi="Times New Roman" w:eastAsia="仿宋" w:cs="Times New Roman"/>
          <w:b/>
          <w:bCs/>
          <w:color w:val="000000"/>
          <w:kern w:val="0"/>
          <w:sz w:val="32"/>
          <w:szCs w:val="32"/>
          <w:lang w:val="en-US" w:eastAsia="zh-CN"/>
        </w:rPr>
      </w:pPr>
      <w:r>
        <w:rPr>
          <w:rFonts w:hint="default" w:ascii="Times New Roman" w:hAnsi="Times New Roman" w:eastAsia="仿宋" w:cs="Times New Roman"/>
          <w:b/>
          <w:bCs/>
          <w:color w:val="000000"/>
          <w:kern w:val="0"/>
          <w:sz w:val="32"/>
          <w:szCs w:val="32"/>
        </w:rPr>
        <w:t>1.优化国土开发格局</w:t>
      </w:r>
      <w:r>
        <w:rPr>
          <w:rFonts w:hint="eastAsia" w:ascii="Times New Roman" w:hAnsi="Times New Roman" w:eastAsia="仿宋" w:cs="Times New Roman"/>
          <w:b/>
          <w:bCs/>
          <w:color w:val="000000"/>
          <w:kern w:val="0"/>
          <w:sz w:val="32"/>
          <w:szCs w:val="32"/>
          <w:lang w:eastAsia="zh-CN"/>
        </w:rPr>
        <w:t>，</w:t>
      </w:r>
      <w:r>
        <w:rPr>
          <w:rFonts w:hint="eastAsia" w:ascii="Times New Roman" w:hAnsi="Times New Roman" w:eastAsia="仿宋" w:cs="Times New Roman"/>
          <w:b/>
          <w:bCs/>
          <w:color w:val="000000"/>
          <w:kern w:val="0"/>
          <w:sz w:val="32"/>
          <w:szCs w:val="32"/>
          <w:lang w:val="en-US" w:eastAsia="zh-CN"/>
        </w:rPr>
        <w:t>规划整合土地资源</w:t>
      </w:r>
    </w:p>
    <w:p w14:paraId="0066975B">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default" w:ascii="Times New Roman" w:hAnsi="Times New Roman" w:eastAsia="仿宋" w:cs="Times New Roman"/>
          <w:color w:val="000000"/>
          <w:kern w:val="0"/>
          <w:sz w:val="32"/>
          <w:szCs w:val="32"/>
          <w:lang w:val="en-US" w:eastAsia="zh-CN"/>
        </w:rPr>
      </w:pPr>
      <w:r>
        <w:rPr>
          <w:rFonts w:hint="eastAsia" w:ascii="Times New Roman" w:hAnsi="Times New Roman" w:eastAsia="仿宋" w:cs="Times New Roman"/>
          <w:b/>
          <w:bCs/>
          <w:color w:val="000000"/>
          <w:kern w:val="0"/>
          <w:sz w:val="32"/>
          <w:szCs w:val="32"/>
          <w:lang w:val="en-US" w:eastAsia="zh-CN"/>
        </w:rPr>
        <w:t>一是形成</w:t>
      </w:r>
      <w:r>
        <w:rPr>
          <w:rFonts w:hint="default" w:ascii="Times New Roman" w:hAnsi="Times New Roman" w:eastAsia="仿宋" w:cs="Times New Roman"/>
          <w:b/>
          <w:bCs/>
          <w:color w:val="000000"/>
          <w:kern w:val="0"/>
          <w:sz w:val="32"/>
          <w:szCs w:val="32"/>
          <w:lang w:val="en-US" w:eastAsia="zh-CN"/>
        </w:rPr>
        <w:t>“一屏双带三片区，一主两副一走廊”国土空间总体格局。</w:t>
      </w:r>
      <w:r>
        <w:rPr>
          <w:rFonts w:hint="default" w:ascii="Times New Roman" w:hAnsi="Times New Roman" w:eastAsia="仿宋" w:cs="Times New Roman"/>
          <w:color w:val="000000"/>
          <w:kern w:val="0"/>
          <w:sz w:val="32"/>
          <w:szCs w:val="32"/>
          <w:lang w:val="en-US" w:eastAsia="zh-CN"/>
        </w:rPr>
        <w:t>“一屏双带三片区”</w:t>
      </w:r>
      <w:r>
        <w:rPr>
          <w:rFonts w:hint="eastAsia" w:ascii="Times New Roman" w:hAnsi="Times New Roman" w:eastAsia="仿宋" w:cs="Times New Roman"/>
          <w:color w:val="000000"/>
          <w:kern w:val="0"/>
          <w:sz w:val="32"/>
          <w:szCs w:val="32"/>
          <w:lang w:val="en-US" w:eastAsia="zh-CN"/>
        </w:rPr>
        <w:t>是</w:t>
      </w:r>
      <w:r>
        <w:rPr>
          <w:rFonts w:hint="default" w:ascii="Times New Roman" w:hAnsi="Times New Roman" w:eastAsia="仿宋" w:cs="Times New Roman"/>
          <w:color w:val="000000"/>
          <w:kern w:val="0"/>
          <w:sz w:val="32"/>
          <w:szCs w:val="32"/>
          <w:lang w:val="en-US" w:eastAsia="zh-CN"/>
        </w:rPr>
        <w:t>围绕三清山、怀玉山、信江源等核心生态资源在县域西北部形成连片的生态环境保护区域，加强水土保持，保护生物多样性；以三清山信江源国家湿地自然公园为主体的金沙溪和玉琊溪两大信江源流为脉，形成县域两条生态保育带，串联上游三清山、怀玉山、信江源等核心生态资源与廊道沿线各类生态环境资源，形成相互贯通的县域生态网络体系；连通东部功能农业示范区、西部特色农业发展区、北部休闲农业示范区，发展地方特色农业产业链。“一主两副一走廊”</w:t>
      </w:r>
      <w:r>
        <w:rPr>
          <w:rFonts w:hint="eastAsia" w:ascii="Times New Roman" w:hAnsi="Times New Roman" w:eastAsia="仿宋" w:cs="Times New Roman"/>
          <w:color w:val="000000"/>
          <w:kern w:val="0"/>
          <w:sz w:val="32"/>
          <w:szCs w:val="32"/>
          <w:lang w:val="en-US" w:eastAsia="zh-CN"/>
        </w:rPr>
        <w:t>是</w:t>
      </w:r>
      <w:r>
        <w:rPr>
          <w:rFonts w:hint="default" w:ascii="Times New Roman" w:hAnsi="Times New Roman" w:eastAsia="仿宋" w:cs="Times New Roman"/>
          <w:color w:val="000000"/>
          <w:kern w:val="0"/>
          <w:sz w:val="32"/>
          <w:szCs w:val="32"/>
          <w:lang w:val="en-US" w:eastAsia="zh-CN"/>
        </w:rPr>
        <w:t>依托冰溪和文成为主体的中心城区为主中心。发挥岩瑞镇区和衢饶示范区和樟村</w:t>
      </w:r>
      <w:r>
        <w:rPr>
          <w:rFonts w:hint="eastAsia" w:ascii="Times New Roman" w:hAnsi="Times New Roman" w:eastAsia="仿宋" w:cs="Times New Roman"/>
          <w:color w:val="000000"/>
          <w:kern w:val="0"/>
          <w:sz w:val="32"/>
          <w:szCs w:val="32"/>
          <w:lang w:val="en-US" w:eastAsia="zh-CN"/>
        </w:rPr>
        <w:t>—</w:t>
      </w:r>
      <w:r>
        <w:rPr>
          <w:rFonts w:hint="default" w:ascii="Times New Roman" w:hAnsi="Times New Roman" w:eastAsia="仿宋" w:cs="Times New Roman"/>
          <w:color w:val="000000"/>
          <w:kern w:val="0"/>
          <w:sz w:val="32"/>
          <w:szCs w:val="32"/>
          <w:lang w:val="en-US" w:eastAsia="zh-CN"/>
        </w:rPr>
        <w:t>怀玉各自优势，提升城镇功能、带动周边城镇组团发展。以沪昆通道为纽带联结县域中部各城镇，强化浙赣区域合作，打造浙赣区域合作发展走廊。全面完成“三区三线”划定，划定永久基本农田31.82万亩、生态保护红线675.73万亩、城镇开发边界 7.746万亩。</w:t>
      </w:r>
    </w:p>
    <w:p w14:paraId="1463C3AC">
      <w:pPr>
        <w:spacing w:line="600" w:lineRule="exact"/>
        <w:ind w:left="0" w:leftChars="0" w:firstLine="643" w:firstLineChars="200"/>
        <w:rPr>
          <w:rFonts w:hint="default"/>
          <w:lang w:val="en-US" w:eastAsia="zh-CN"/>
        </w:rPr>
      </w:pPr>
      <w:r>
        <w:rPr>
          <w:rFonts w:hint="eastAsia" w:ascii="Times New Roman" w:hAnsi="Times New Roman" w:eastAsia="仿宋" w:cs="Times New Roman"/>
          <w:b/>
          <w:bCs/>
          <w:color w:val="000000"/>
          <w:kern w:val="0"/>
          <w:sz w:val="32"/>
          <w:szCs w:val="32"/>
          <w:lang w:val="en-US" w:eastAsia="zh-CN"/>
        </w:rPr>
        <w:t>二是整合开发国有土地资源。</w:t>
      </w:r>
      <w:r>
        <w:rPr>
          <w:rFonts w:hint="default" w:ascii="Times New Roman" w:hAnsi="Times New Roman" w:eastAsia="仿宋" w:cs="Times New Roman"/>
          <w:sz w:val="32"/>
          <w:szCs w:val="32"/>
          <w:lang w:val="en-US" w:eastAsia="zh-CN"/>
        </w:rPr>
        <w:t>截至2023年底，</w:t>
      </w:r>
      <w:r>
        <w:rPr>
          <w:rFonts w:hint="default" w:ascii="Times New Roman" w:hAnsi="Times New Roman" w:eastAsia="仿宋" w:cs="Times New Roman"/>
          <w:sz w:val="32"/>
          <w:szCs w:val="32"/>
        </w:rPr>
        <w:t>划拨国有</w:t>
      </w:r>
      <w:r>
        <w:rPr>
          <w:rFonts w:hint="default" w:ascii="Times New Roman" w:hAnsi="Times New Roman" w:eastAsia="仿宋" w:cs="Times New Roman"/>
          <w:sz w:val="32"/>
          <w:szCs w:val="32"/>
          <w:lang w:val="en-US" w:eastAsia="zh-CN"/>
        </w:rPr>
        <w:t>土地使用权40宗，面积570.11亩。拍卖出让供应国有土地土地使用权23宗，总面积1082.7亩，总出让金额99102.94万元。其中商住用地9宗，面积283.3亩，出让金额84166万元；商服用地2宗，面积55.2亩，出让金额8200万元；教育用地1宗，面积21.9亩，出让金额801万元；物流仓储用地1宗，面积8.7亩，出让金额185万元；工业用地10宗，面积713.6亩，出让金额5750.94万元。</w:t>
      </w:r>
    </w:p>
    <w:p w14:paraId="18125517">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default" w:ascii="Times New Roman" w:hAnsi="Times New Roman" w:eastAsia="仿宋" w:cs="Times New Roman"/>
          <w:color w:val="000000"/>
          <w:kern w:val="0"/>
          <w:sz w:val="32"/>
          <w:szCs w:val="32"/>
        </w:rPr>
      </w:pPr>
      <w:r>
        <w:rPr>
          <w:rFonts w:hint="default" w:ascii="Times New Roman" w:hAnsi="Times New Roman" w:eastAsia="仿宋" w:cs="Times New Roman"/>
          <w:b/>
          <w:bCs/>
          <w:color w:val="000000"/>
          <w:kern w:val="0"/>
          <w:sz w:val="32"/>
          <w:szCs w:val="32"/>
        </w:rPr>
        <w:t>2.保护</w:t>
      </w:r>
      <w:r>
        <w:rPr>
          <w:rFonts w:hint="eastAsia" w:ascii="Times New Roman" w:hAnsi="Times New Roman" w:eastAsia="仿宋" w:cs="Times New Roman"/>
          <w:b/>
          <w:bCs/>
          <w:color w:val="000000"/>
          <w:kern w:val="0"/>
          <w:sz w:val="32"/>
          <w:szCs w:val="32"/>
          <w:lang w:val="en-US" w:eastAsia="zh-CN"/>
        </w:rPr>
        <w:t>县域</w:t>
      </w:r>
      <w:r>
        <w:rPr>
          <w:rFonts w:hint="default" w:ascii="Times New Roman" w:hAnsi="Times New Roman" w:eastAsia="仿宋" w:cs="Times New Roman"/>
          <w:b/>
          <w:bCs/>
          <w:color w:val="000000"/>
          <w:kern w:val="0"/>
          <w:sz w:val="32"/>
          <w:szCs w:val="32"/>
        </w:rPr>
        <w:t>生态环境，充分利用环境资源</w:t>
      </w:r>
    </w:p>
    <w:p w14:paraId="5A0B160B">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default" w:ascii="Times New Roman" w:hAnsi="Times New Roman" w:eastAsia="仿宋" w:cs="Times New Roman"/>
          <w:color w:val="000000"/>
          <w:kern w:val="0"/>
          <w:sz w:val="32"/>
          <w:szCs w:val="32"/>
          <w:lang w:eastAsia="zh-CN"/>
        </w:rPr>
      </w:pPr>
      <w:r>
        <w:rPr>
          <w:rFonts w:hint="eastAsia" w:ascii="Times New Roman" w:hAnsi="Times New Roman" w:eastAsia="仿宋" w:cs="Times New Roman"/>
          <w:b/>
          <w:bCs/>
          <w:color w:val="000000"/>
          <w:kern w:val="0"/>
          <w:sz w:val="32"/>
          <w:szCs w:val="32"/>
          <w:lang w:val="en-US" w:eastAsia="zh-CN"/>
        </w:rPr>
        <w:t>一是</w:t>
      </w:r>
      <w:r>
        <w:rPr>
          <w:rFonts w:hint="default" w:ascii="Times New Roman" w:hAnsi="Times New Roman" w:eastAsia="仿宋" w:cs="Times New Roman"/>
          <w:b/>
          <w:bCs/>
          <w:color w:val="000000"/>
          <w:kern w:val="0"/>
          <w:sz w:val="32"/>
          <w:szCs w:val="32"/>
        </w:rPr>
        <w:t>耕地资源保护。</w:t>
      </w:r>
      <w:r>
        <w:rPr>
          <w:rFonts w:hint="default" w:ascii="Times New Roman" w:hAnsi="Times New Roman" w:eastAsia="仿宋" w:cs="Times New Roman"/>
          <w:color w:val="000000"/>
          <w:kern w:val="0"/>
          <w:sz w:val="32"/>
          <w:szCs w:val="32"/>
        </w:rPr>
        <w:t>我</w:t>
      </w:r>
      <w:r>
        <w:rPr>
          <w:rFonts w:hint="default" w:ascii="Times New Roman" w:hAnsi="Times New Roman" w:eastAsia="仿宋" w:cs="Times New Roman"/>
          <w:color w:val="000000"/>
          <w:kern w:val="0"/>
          <w:sz w:val="32"/>
          <w:szCs w:val="32"/>
          <w:lang w:eastAsia="zh-CN"/>
        </w:rPr>
        <w:t>县</w:t>
      </w:r>
      <w:r>
        <w:rPr>
          <w:rFonts w:hint="default" w:ascii="Times New Roman" w:hAnsi="Times New Roman" w:eastAsia="仿宋" w:cs="Times New Roman"/>
          <w:color w:val="000000"/>
          <w:kern w:val="0"/>
          <w:sz w:val="32"/>
          <w:szCs w:val="32"/>
        </w:rPr>
        <w:t>紧紧围绕耕地数量、质量、生态“三位一体”保护目标，认真贯彻《中共中央、国务院关于加强耕地保护和改进占补平衡的意见》，进一步落实“党委领导、政府负责、部门协同、公众参与、上下联动”的耕地保护共同责任机制，切实加强耕地管控性、建设性、激励性保护</w:t>
      </w:r>
      <w:r>
        <w:rPr>
          <w:rFonts w:hint="default" w:ascii="Times New Roman" w:hAnsi="Times New Roman" w:eastAsia="仿宋" w:cs="Times New Roman"/>
          <w:color w:val="000000"/>
          <w:kern w:val="0"/>
          <w:sz w:val="32"/>
          <w:szCs w:val="32"/>
          <w:lang w:eastAsia="zh-CN"/>
        </w:rPr>
        <w:t>，积极</w:t>
      </w:r>
      <w:r>
        <w:rPr>
          <w:rFonts w:hint="default" w:ascii="Times New Roman" w:hAnsi="Times New Roman" w:eastAsia="仿宋" w:cs="Times New Roman"/>
          <w:color w:val="000000"/>
          <w:kern w:val="0"/>
          <w:sz w:val="32"/>
          <w:szCs w:val="32"/>
          <w:lang w:val="en-US" w:eastAsia="zh-CN"/>
        </w:rPr>
        <w:t>开展土地违法违规专项整治、农村乱占耕地建房问题整治、建筑用砂石行业专项整治行动，切实有效保护耕地资源。</w:t>
      </w:r>
    </w:p>
    <w:p w14:paraId="0812A088">
      <w:pPr>
        <w:pStyle w:val="14"/>
        <w:keepNext w:val="0"/>
        <w:keepLines w:val="0"/>
        <w:pageBreakBefore w:val="0"/>
        <w:widowControl w:val="0"/>
        <w:kinsoku/>
        <w:wordWrap/>
        <w:overflowPunct/>
        <w:topLinePunct w:val="0"/>
        <w:autoSpaceDE/>
        <w:autoSpaceDN/>
        <w:bidi w:val="0"/>
        <w:adjustRightInd/>
        <w:snapToGrid/>
        <w:spacing w:after="0" w:line="600" w:lineRule="exact"/>
        <w:ind w:firstLine="643" w:firstLineChars="200"/>
        <w:textAlignment w:val="auto"/>
        <w:rPr>
          <w:rFonts w:hint="default" w:ascii="Times New Roman" w:hAnsi="Times New Roman" w:eastAsia="仿宋" w:cs="Times New Roman"/>
          <w:color w:val="000000"/>
          <w:kern w:val="0"/>
          <w:sz w:val="32"/>
          <w:szCs w:val="32"/>
          <w:lang w:val="en-US" w:eastAsia="zh-CN"/>
        </w:rPr>
      </w:pPr>
      <w:r>
        <w:rPr>
          <w:rFonts w:hint="eastAsia" w:ascii="Times New Roman" w:hAnsi="Times New Roman" w:eastAsia="仿宋" w:cs="Times New Roman"/>
          <w:b/>
          <w:bCs/>
          <w:color w:val="000000"/>
          <w:kern w:val="0"/>
          <w:sz w:val="32"/>
          <w:szCs w:val="32"/>
          <w:lang w:val="en-US" w:eastAsia="zh-CN"/>
        </w:rPr>
        <w:t>二是废弃矿山修复</w:t>
      </w:r>
      <w:r>
        <w:rPr>
          <w:rFonts w:hint="default" w:ascii="Times New Roman" w:hAnsi="Times New Roman" w:eastAsia="仿宋" w:cs="Times New Roman"/>
          <w:b/>
          <w:bCs/>
          <w:color w:val="000000"/>
          <w:kern w:val="0"/>
          <w:sz w:val="32"/>
          <w:szCs w:val="32"/>
        </w:rPr>
        <w:t>。</w:t>
      </w:r>
      <w:r>
        <w:rPr>
          <w:rFonts w:hint="default" w:ascii="Times New Roman" w:hAnsi="Times New Roman" w:eastAsia="仿宋" w:cs="Times New Roman"/>
          <w:color w:val="auto"/>
          <w:sz w:val="32"/>
          <w:szCs w:val="32"/>
          <w:lang w:val="en-US" w:eastAsia="zh-CN"/>
        </w:rPr>
        <w:t>大力推进废弃矿山恢复治理</w:t>
      </w:r>
      <w:r>
        <w:rPr>
          <w:rFonts w:hint="eastAsia" w:eastAsia="仿宋" w:cs="Times New Roman"/>
          <w:color w:val="auto"/>
          <w:sz w:val="32"/>
          <w:szCs w:val="32"/>
          <w:lang w:val="en-US" w:eastAsia="zh-CN"/>
        </w:rPr>
        <w:t>，截至2023年底，</w:t>
      </w:r>
      <w:r>
        <w:rPr>
          <w:rFonts w:hint="default" w:ascii="Times New Roman" w:hAnsi="Times New Roman" w:eastAsia="仿宋" w:cs="Times New Roman"/>
          <w:color w:val="auto"/>
          <w:sz w:val="32"/>
          <w:szCs w:val="32"/>
          <w:lang w:val="en-US" w:eastAsia="zh-CN"/>
        </w:rPr>
        <w:t>开展2022年度废弃矿山生态修复（二期）项目，对冰溪街道等7个乡镇（街道）18个废弃矿山进行生态修复，面积646亩。开展2023年度废弃矿山生态修复（三期）项目，对怀玉乡等4个乡镇4个废弃矿山进行修复，面积104亩。</w:t>
      </w:r>
    </w:p>
    <w:p w14:paraId="2C8E8396">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default" w:ascii="Times New Roman" w:hAnsi="Times New Roman" w:eastAsia="仿宋" w:cs="Times New Roman"/>
          <w:color w:val="000000"/>
          <w:kern w:val="0"/>
          <w:sz w:val="32"/>
          <w:szCs w:val="32"/>
        </w:rPr>
      </w:pPr>
      <w:r>
        <w:rPr>
          <w:rFonts w:hint="eastAsia" w:ascii="Times New Roman" w:hAnsi="Times New Roman" w:eastAsia="仿宋" w:cs="Times New Roman"/>
          <w:b/>
          <w:bCs/>
          <w:color w:val="000000"/>
          <w:kern w:val="0"/>
          <w:sz w:val="32"/>
          <w:szCs w:val="32"/>
          <w:lang w:val="en-US" w:eastAsia="zh-CN"/>
        </w:rPr>
        <w:t>三是</w:t>
      </w:r>
      <w:r>
        <w:rPr>
          <w:rFonts w:hint="default" w:ascii="Times New Roman" w:hAnsi="Times New Roman" w:eastAsia="仿宋" w:cs="Times New Roman"/>
          <w:b/>
          <w:bCs/>
          <w:color w:val="000000"/>
          <w:kern w:val="0"/>
          <w:sz w:val="32"/>
          <w:szCs w:val="32"/>
        </w:rPr>
        <w:t>地质环境</w:t>
      </w:r>
      <w:r>
        <w:rPr>
          <w:rFonts w:hint="eastAsia" w:ascii="Times New Roman" w:hAnsi="Times New Roman" w:eastAsia="仿宋" w:cs="Times New Roman"/>
          <w:b/>
          <w:bCs/>
          <w:color w:val="000000"/>
          <w:kern w:val="0"/>
          <w:sz w:val="32"/>
          <w:szCs w:val="32"/>
          <w:lang w:val="en-US" w:eastAsia="zh-CN"/>
        </w:rPr>
        <w:t>检测</w:t>
      </w:r>
      <w:r>
        <w:rPr>
          <w:rFonts w:hint="default" w:ascii="Times New Roman" w:hAnsi="Times New Roman" w:eastAsia="仿宋" w:cs="Times New Roman"/>
          <w:b/>
          <w:bCs/>
          <w:color w:val="000000"/>
          <w:kern w:val="0"/>
          <w:sz w:val="32"/>
          <w:szCs w:val="32"/>
        </w:rPr>
        <w:t>。</w:t>
      </w:r>
      <w:r>
        <w:rPr>
          <w:rFonts w:hint="default" w:ascii="Times New Roman" w:hAnsi="Times New Roman" w:eastAsia="仿宋" w:cs="Times New Roman"/>
          <w:color w:val="000000"/>
          <w:kern w:val="0"/>
          <w:sz w:val="32"/>
          <w:szCs w:val="32"/>
        </w:rPr>
        <w:t>全面建成覆盖全</w:t>
      </w:r>
      <w:r>
        <w:rPr>
          <w:rFonts w:hint="default" w:ascii="Times New Roman" w:hAnsi="Times New Roman" w:eastAsia="仿宋" w:cs="Times New Roman"/>
          <w:color w:val="000000"/>
          <w:kern w:val="0"/>
          <w:sz w:val="32"/>
          <w:szCs w:val="32"/>
          <w:lang w:eastAsia="zh-CN"/>
        </w:rPr>
        <w:t>县</w:t>
      </w:r>
      <w:r>
        <w:rPr>
          <w:rFonts w:hint="default" w:ascii="Times New Roman" w:hAnsi="Times New Roman" w:eastAsia="仿宋" w:cs="Times New Roman"/>
          <w:color w:val="000000"/>
          <w:kern w:val="0"/>
          <w:sz w:val="32"/>
          <w:szCs w:val="32"/>
        </w:rPr>
        <w:t>范围内地下水动态监测网络，开展各种类型地下水动态监测，加强全</w:t>
      </w:r>
      <w:r>
        <w:rPr>
          <w:rFonts w:hint="default" w:ascii="Times New Roman" w:hAnsi="Times New Roman" w:eastAsia="仿宋" w:cs="Times New Roman"/>
          <w:color w:val="000000"/>
          <w:kern w:val="0"/>
          <w:sz w:val="32"/>
          <w:szCs w:val="32"/>
          <w:lang w:eastAsia="zh-CN"/>
        </w:rPr>
        <w:t>县</w:t>
      </w:r>
      <w:r>
        <w:rPr>
          <w:rFonts w:hint="default" w:ascii="Times New Roman" w:hAnsi="Times New Roman" w:eastAsia="仿宋" w:cs="Times New Roman"/>
          <w:color w:val="000000"/>
          <w:kern w:val="0"/>
          <w:sz w:val="32"/>
          <w:szCs w:val="32"/>
        </w:rPr>
        <w:t>应急供水水源保护，确保水质保持稳定。</w:t>
      </w:r>
    </w:p>
    <w:p w14:paraId="5FBDC676">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default" w:ascii="Times New Roman" w:hAnsi="Times New Roman" w:eastAsia="仿宋" w:cs="Times New Roman"/>
          <w:color w:val="000000"/>
          <w:kern w:val="0"/>
          <w:sz w:val="32"/>
          <w:szCs w:val="32"/>
        </w:rPr>
      </w:pPr>
      <w:r>
        <w:rPr>
          <w:rFonts w:hint="eastAsia" w:ascii="Times New Roman" w:hAnsi="Times New Roman" w:eastAsia="仿宋" w:cs="Times New Roman"/>
          <w:b/>
          <w:bCs/>
          <w:color w:val="000000"/>
          <w:kern w:val="0"/>
          <w:sz w:val="32"/>
          <w:szCs w:val="32"/>
          <w:lang w:val="en-US" w:eastAsia="zh-CN"/>
        </w:rPr>
        <w:t>四是</w:t>
      </w:r>
      <w:r>
        <w:rPr>
          <w:rFonts w:hint="default" w:ascii="Times New Roman" w:hAnsi="Times New Roman" w:eastAsia="仿宋" w:cs="Times New Roman"/>
          <w:b/>
          <w:bCs/>
          <w:color w:val="000000"/>
          <w:kern w:val="0"/>
          <w:sz w:val="32"/>
          <w:szCs w:val="32"/>
        </w:rPr>
        <w:t>林业</w:t>
      </w:r>
      <w:r>
        <w:rPr>
          <w:rFonts w:hint="eastAsia" w:ascii="Times New Roman" w:hAnsi="Times New Roman" w:eastAsia="仿宋" w:cs="Times New Roman"/>
          <w:b/>
          <w:bCs/>
          <w:color w:val="000000"/>
          <w:kern w:val="0"/>
          <w:sz w:val="32"/>
          <w:szCs w:val="32"/>
          <w:lang w:val="en-US" w:eastAsia="zh-CN"/>
        </w:rPr>
        <w:t>生态建设</w:t>
      </w:r>
      <w:r>
        <w:rPr>
          <w:rFonts w:hint="default" w:ascii="Times New Roman" w:hAnsi="Times New Roman" w:eastAsia="仿宋" w:cs="Times New Roman"/>
          <w:b/>
          <w:bCs/>
          <w:color w:val="000000"/>
          <w:kern w:val="0"/>
          <w:sz w:val="32"/>
          <w:szCs w:val="32"/>
        </w:rPr>
        <w:t>。</w:t>
      </w:r>
      <w:r>
        <w:rPr>
          <w:rFonts w:hint="default" w:ascii="Times New Roman" w:hAnsi="Times New Roman" w:eastAsia="仿宋" w:cs="Times New Roman"/>
          <w:color w:val="000000"/>
          <w:kern w:val="0"/>
          <w:sz w:val="32"/>
          <w:szCs w:val="32"/>
        </w:rPr>
        <w:t>坚持依法行政，依法治林，按照“严管林”的要求，一是加强了林木采伐管理，严厉查处乱砍滥伐林木行为，森林蓄积消耗量明显下降；二是通过实施森林质量提升工程，以促进目的树种生长为目标，加快推进中幼林抚育改造，通过调整林分密度，优化林分结构，改善林木生长环境，缩短森林培育周期，林分质量明显提高；三是推进</w:t>
      </w:r>
      <w:r>
        <w:rPr>
          <w:rFonts w:hint="default" w:ascii="Times New Roman" w:hAnsi="Times New Roman" w:eastAsia="仿宋" w:cs="Times New Roman"/>
          <w:color w:val="000000"/>
          <w:kern w:val="0"/>
          <w:sz w:val="32"/>
          <w:szCs w:val="32"/>
          <w:lang w:eastAsia="zh-CN"/>
        </w:rPr>
        <w:t>林业生态建设。</w:t>
      </w:r>
      <w:r>
        <w:rPr>
          <w:rFonts w:hint="default" w:ascii="Times New Roman" w:hAnsi="Times New Roman" w:eastAsia="仿宋" w:cs="Times New Roman"/>
          <w:color w:val="000000"/>
          <w:kern w:val="0"/>
          <w:sz w:val="32"/>
          <w:szCs w:val="32"/>
        </w:rPr>
        <w:t>我</w:t>
      </w:r>
      <w:r>
        <w:rPr>
          <w:rFonts w:hint="default" w:ascii="Times New Roman" w:hAnsi="Times New Roman" w:eastAsia="仿宋" w:cs="Times New Roman"/>
          <w:color w:val="000000"/>
          <w:kern w:val="0"/>
          <w:sz w:val="32"/>
          <w:szCs w:val="32"/>
          <w:lang w:eastAsia="zh-CN"/>
        </w:rPr>
        <w:t>县</w:t>
      </w:r>
      <w:r>
        <w:rPr>
          <w:rFonts w:hint="default" w:ascii="Times New Roman" w:hAnsi="Times New Roman" w:eastAsia="仿宋" w:cs="Times New Roman"/>
          <w:color w:val="000000"/>
          <w:kern w:val="0"/>
          <w:sz w:val="32"/>
          <w:szCs w:val="32"/>
        </w:rPr>
        <w:t>林业生态建设成效显著，森林资源保护成绩突出，松材线虫病等重大林业有害生物防治取得显著成效，森林火灾次数和受灾面积显著下降，古树名木和珍稀动植物资源保护工作日益加强，林地面积、森林蓄积量持续稳定增长，森林覆盖率稳定在较高水平。</w:t>
      </w:r>
    </w:p>
    <w:p w14:paraId="4A507882">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default" w:ascii="Times New Roman" w:hAnsi="Times New Roman" w:eastAsia="仿宋" w:cs="Times New Roman"/>
          <w:color w:val="000000"/>
          <w:kern w:val="0"/>
          <w:sz w:val="32"/>
          <w:szCs w:val="32"/>
          <w:lang w:eastAsia="zh-CN"/>
        </w:rPr>
      </w:pPr>
      <w:r>
        <w:rPr>
          <w:rFonts w:hint="eastAsia" w:ascii="Times New Roman" w:hAnsi="Times New Roman" w:eastAsia="仿宋" w:cs="Times New Roman"/>
          <w:b/>
          <w:bCs/>
          <w:color w:val="000000"/>
          <w:kern w:val="0"/>
          <w:sz w:val="32"/>
          <w:szCs w:val="32"/>
          <w:lang w:val="en-US" w:eastAsia="zh-CN"/>
        </w:rPr>
        <w:t>五是水源环境改善</w:t>
      </w:r>
      <w:r>
        <w:rPr>
          <w:rFonts w:hint="default" w:ascii="Times New Roman" w:hAnsi="Times New Roman" w:eastAsia="仿宋" w:cs="Times New Roman"/>
          <w:b/>
          <w:bCs/>
          <w:color w:val="000000"/>
          <w:kern w:val="0"/>
          <w:sz w:val="32"/>
          <w:szCs w:val="32"/>
        </w:rPr>
        <w:t>。</w:t>
      </w:r>
      <w:r>
        <w:rPr>
          <w:rFonts w:hint="default" w:ascii="Times New Roman" w:hAnsi="Times New Roman" w:eastAsia="仿宋" w:cs="Times New Roman"/>
          <w:color w:val="000000"/>
          <w:kern w:val="0"/>
          <w:sz w:val="32"/>
          <w:szCs w:val="32"/>
        </w:rPr>
        <w:t>近年来，我</w:t>
      </w:r>
      <w:r>
        <w:rPr>
          <w:rFonts w:hint="default" w:ascii="Times New Roman" w:hAnsi="Times New Roman" w:eastAsia="仿宋" w:cs="Times New Roman"/>
          <w:color w:val="000000"/>
          <w:kern w:val="0"/>
          <w:sz w:val="32"/>
          <w:szCs w:val="32"/>
          <w:lang w:eastAsia="zh-CN"/>
        </w:rPr>
        <w:t>县</w:t>
      </w:r>
      <w:r>
        <w:rPr>
          <w:rFonts w:hint="default" w:ascii="Times New Roman" w:hAnsi="Times New Roman" w:eastAsia="仿宋" w:cs="Times New Roman"/>
          <w:color w:val="000000"/>
          <w:kern w:val="0"/>
          <w:sz w:val="32"/>
          <w:szCs w:val="32"/>
        </w:rPr>
        <w:t>着力改善水生态环境与水资源利用，重点加强水源地保护与治理项目建设</w:t>
      </w:r>
      <w:r>
        <w:rPr>
          <w:rFonts w:hint="default" w:ascii="Times New Roman" w:hAnsi="Times New Roman" w:eastAsia="仿宋" w:cs="Times New Roman"/>
          <w:color w:val="000000"/>
          <w:kern w:val="0"/>
          <w:sz w:val="32"/>
          <w:szCs w:val="32"/>
          <w:lang w:eastAsia="zh-CN"/>
        </w:rPr>
        <w:t>，</w:t>
      </w:r>
      <w:r>
        <w:rPr>
          <w:rFonts w:hint="default" w:ascii="Times New Roman" w:hAnsi="Times New Roman" w:eastAsia="仿宋" w:cs="Times New Roman"/>
          <w:color w:val="000000"/>
          <w:kern w:val="0"/>
          <w:sz w:val="32"/>
          <w:szCs w:val="32"/>
        </w:rPr>
        <w:t>同时</w:t>
      </w:r>
      <w:r>
        <w:rPr>
          <w:rFonts w:hint="default" w:ascii="Times New Roman" w:hAnsi="Times New Roman" w:eastAsia="仿宋" w:cs="Times New Roman"/>
          <w:color w:val="000000"/>
          <w:kern w:val="0"/>
          <w:sz w:val="32"/>
          <w:szCs w:val="32"/>
          <w:lang w:eastAsia="zh-CN"/>
        </w:rPr>
        <w:t>加强</w:t>
      </w:r>
      <w:r>
        <w:rPr>
          <w:rFonts w:hint="default" w:ascii="Times New Roman" w:hAnsi="Times New Roman" w:eastAsia="仿宋" w:cs="Times New Roman"/>
          <w:color w:val="000000"/>
          <w:kern w:val="0"/>
          <w:sz w:val="32"/>
          <w:szCs w:val="32"/>
        </w:rPr>
        <w:t>环境保护、改善河道生态。</w:t>
      </w:r>
    </w:p>
    <w:p w14:paraId="673DA222">
      <w:pPr>
        <w:keepNext w:val="0"/>
        <w:keepLines w:val="0"/>
        <w:pageBreakBefore w:val="0"/>
        <w:widowControl w:val="0"/>
        <w:kinsoku/>
        <w:wordWrap/>
        <w:overflowPunct/>
        <w:topLinePunct w:val="0"/>
        <w:autoSpaceDE/>
        <w:autoSpaceDN/>
        <w:bidi w:val="0"/>
        <w:adjustRightInd/>
        <w:snapToGrid/>
        <w:spacing w:line="640" w:lineRule="atLeast"/>
        <w:ind w:firstLine="320" w:firstLineChars="100"/>
        <w:jc w:val="both"/>
        <w:textAlignment w:val="auto"/>
        <w:rPr>
          <w:rFonts w:hint="default" w:ascii="Times New Roman" w:hAnsi="Times New Roman" w:eastAsia="仿宋" w:cs="Times New Roman"/>
          <w:b/>
          <w:bCs/>
          <w:color w:val="000000"/>
          <w:kern w:val="0"/>
          <w:sz w:val="32"/>
          <w:szCs w:val="32"/>
        </w:rPr>
      </w:pPr>
      <w:r>
        <w:rPr>
          <w:rFonts w:hint="eastAsia" w:ascii="Times New Roman" w:hAnsi="Times New Roman" w:eastAsia="仿宋" w:cs="Times New Roman"/>
          <w:b w:val="0"/>
          <w:bCs w:val="0"/>
          <w:color w:val="000000"/>
          <w:kern w:val="0"/>
          <w:sz w:val="32"/>
          <w:szCs w:val="32"/>
          <w:lang w:val="en-US" w:eastAsia="zh-CN"/>
        </w:rPr>
        <w:t xml:space="preserve">  </w:t>
      </w:r>
      <w:r>
        <w:rPr>
          <w:rFonts w:hint="default" w:ascii="Times New Roman" w:hAnsi="Times New Roman" w:eastAsia="仿宋" w:cs="Times New Roman"/>
          <w:b/>
          <w:bCs/>
          <w:color w:val="000000"/>
          <w:kern w:val="0"/>
          <w:sz w:val="32"/>
          <w:szCs w:val="32"/>
        </w:rPr>
        <w:t>（</w:t>
      </w:r>
      <w:r>
        <w:rPr>
          <w:rFonts w:hint="eastAsia" w:ascii="Times New Roman" w:hAnsi="Times New Roman" w:eastAsia="仿宋" w:cs="Times New Roman"/>
          <w:b/>
          <w:bCs/>
          <w:color w:val="000000"/>
          <w:kern w:val="0"/>
          <w:sz w:val="32"/>
          <w:szCs w:val="32"/>
          <w:lang w:eastAsia="zh-CN"/>
        </w:rPr>
        <w:t>三</w:t>
      </w:r>
      <w:r>
        <w:rPr>
          <w:rFonts w:hint="default" w:ascii="Times New Roman" w:hAnsi="Times New Roman" w:eastAsia="仿宋" w:cs="Times New Roman"/>
          <w:b/>
          <w:bCs/>
          <w:color w:val="000000"/>
          <w:kern w:val="0"/>
          <w:sz w:val="32"/>
          <w:szCs w:val="32"/>
        </w:rPr>
        <w:t>）国有自然资源资产管理下一步打算</w:t>
      </w:r>
    </w:p>
    <w:p w14:paraId="74A1B965">
      <w:pPr>
        <w:ind w:firstLine="643" w:firstLineChars="200"/>
        <w:jc w:val="both"/>
        <w:rPr>
          <w:rFonts w:hint="default" w:ascii="Times New Roman" w:hAnsi="Times New Roman" w:eastAsia="仿宋" w:cs="Times New Roman"/>
          <w:b/>
          <w:bCs/>
          <w:color w:val="000000"/>
          <w:kern w:val="0"/>
          <w:sz w:val="32"/>
          <w:szCs w:val="32"/>
          <w:lang w:val="en-US" w:eastAsia="zh-CN"/>
        </w:rPr>
      </w:pPr>
      <w:r>
        <w:rPr>
          <w:rFonts w:hint="eastAsia" w:ascii="Times New Roman" w:hAnsi="Times New Roman" w:eastAsia="仿宋" w:cs="Times New Roman"/>
          <w:b/>
          <w:bCs/>
          <w:color w:val="000000"/>
          <w:kern w:val="0"/>
          <w:sz w:val="32"/>
          <w:szCs w:val="32"/>
          <w:lang w:val="en-US" w:eastAsia="zh-CN"/>
        </w:rPr>
        <w:t>1.</w:t>
      </w:r>
      <w:r>
        <w:rPr>
          <w:rFonts w:hint="eastAsia" w:ascii="仿宋" w:hAnsi="仿宋" w:eastAsia="仿宋" w:cs="仿宋"/>
          <w:b/>
          <w:bCs/>
          <w:color w:val="000000"/>
          <w:sz w:val="32"/>
          <w:szCs w:val="32"/>
          <w:lang w:val="en-US" w:eastAsia="zh-CN"/>
        </w:rPr>
        <w:t>强化部门联动，创新部门管理联动理念。</w:t>
      </w:r>
      <w:r>
        <w:rPr>
          <w:rFonts w:hint="eastAsia" w:ascii="仿宋" w:hAnsi="仿宋" w:eastAsia="仿宋" w:cs="仿宋"/>
          <w:b w:val="0"/>
          <w:bCs w:val="0"/>
          <w:color w:val="000000"/>
          <w:sz w:val="32"/>
          <w:szCs w:val="32"/>
          <w:lang w:val="en-US" w:eastAsia="zh-CN"/>
        </w:rPr>
        <w:t>国有自然资源资产管理涉及面广，始终坚持协同、合作、统一的管理理念，以不同门类自然资源相互协调为纽带，延长管理链条，加强部门之间的整体联动，形成合力。</w:t>
      </w:r>
    </w:p>
    <w:p w14:paraId="5C60F50C">
      <w:pPr>
        <w:keepNext w:val="0"/>
        <w:keepLines w:val="0"/>
        <w:pageBreakBefore w:val="0"/>
        <w:widowControl w:val="0"/>
        <w:kinsoku/>
        <w:wordWrap/>
        <w:overflowPunct/>
        <w:topLinePunct w:val="0"/>
        <w:autoSpaceDE/>
        <w:autoSpaceDN/>
        <w:bidi w:val="0"/>
        <w:adjustRightInd/>
        <w:snapToGrid/>
        <w:spacing w:line="640" w:lineRule="atLeast"/>
        <w:ind w:firstLine="643" w:firstLineChars="200"/>
        <w:jc w:val="both"/>
        <w:textAlignment w:val="auto"/>
        <w:rPr>
          <w:rFonts w:hint="default" w:ascii="Times New Roman" w:hAnsi="Times New Roman" w:eastAsia="仿宋" w:cs="Times New Roman"/>
          <w:color w:val="000000"/>
          <w:kern w:val="0"/>
          <w:sz w:val="32"/>
          <w:szCs w:val="32"/>
          <w:lang w:eastAsia="zh-CN"/>
        </w:rPr>
      </w:pPr>
      <w:r>
        <w:rPr>
          <w:rFonts w:hint="eastAsia" w:ascii="Times New Roman" w:hAnsi="Times New Roman" w:eastAsia="仿宋" w:cs="Times New Roman"/>
          <w:b/>
          <w:bCs/>
          <w:color w:val="000000"/>
          <w:kern w:val="0"/>
          <w:sz w:val="32"/>
          <w:szCs w:val="32"/>
          <w:lang w:val="en-US" w:eastAsia="zh-CN"/>
        </w:rPr>
        <w:t>2.</w:t>
      </w:r>
      <w:r>
        <w:rPr>
          <w:rFonts w:hint="default" w:ascii="Times New Roman" w:hAnsi="Times New Roman" w:eastAsia="仿宋" w:cs="Times New Roman"/>
          <w:b/>
          <w:bCs/>
          <w:color w:val="000000"/>
          <w:kern w:val="0"/>
          <w:sz w:val="32"/>
          <w:szCs w:val="32"/>
          <w:lang w:eastAsia="zh-CN"/>
        </w:rPr>
        <w:t>统筹保护利用，提升自然资源承载能力。</w:t>
      </w:r>
      <w:r>
        <w:rPr>
          <w:rFonts w:hint="default" w:ascii="Times New Roman" w:hAnsi="Times New Roman" w:eastAsia="仿宋" w:cs="Times New Roman"/>
          <w:color w:val="000000"/>
          <w:kern w:val="0"/>
          <w:sz w:val="32"/>
          <w:szCs w:val="32"/>
          <w:lang w:eastAsia="zh-CN"/>
        </w:rPr>
        <w:t>加强耕地和森林资源保护，狠抓绿色矿山问题整改和督导，全力推动湿地公园、湿地保护小区、小微湿地建设，稳步提高湿地保护率，加大自然资源保护修复力度。深入推进“节地增效”行动，持续推进县土地市场建设，加强存量土地资源盘活利用，推进林业资源可持续利用，提升自然资源节约集约开发利用水平。推进县、乡二级国土空间总体规划编制工作，加快形成县级国土空间规划“一张图”数据库。持续推进自然资源资产清查工作，进一步摸清全民所有自然资源资产家底。</w:t>
      </w:r>
    </w:p>
    <w:p w14:paraId="19F0978D">
      <w:pPr>
        <w:keepNext w:val="0"/>
        <w:keepLines w:val="0"/>
        <w:pageBreakBefore w:val="0"/>
        <w:widowControl w:val="0"/>
        <w:kinsoku/>
        <w:wordWrap/>
        <w:overflowPunct/>
        <w:topLinePunct w:val="0"/>
        <w:autoSpaceDE/>
        <w:autoSpaceDN/>
        <w:bidi w:val="0"/>
        <w:adjustRightInd/>
        <w:snapToGrid/>
        <w:spacing w:line="640" w:lineRule="atLeast"/>
        <w:ind w:firstLine="643" w:firstLineChars="200"/>
        <w:jc w:val="both"/>
        <w:textAlignment w:val="auto"/>
        <w:rPr>
          <w:rFonts w:hint="eastAsia" w:ascii="黑体" w:hAnsi="黑体" w:eastAsia="黑体" w:cs="黑体"/>
          <w:b/>
          <w:bCs/>
          <w:color w:val="000000"/>
          <w:kern w:val="0"/>
          <w:sz w:val="32"/>
          <w:szCs w:val="32"/>
          <w:lang w:val="en-US" w:eastAsia="zh-CN"/>
        </w:rPr>
      </w:pPr>
      <w:r>
        <w:rPr>
          <w:rFonts w:hint="eastAsia" w:ascii="黑体" w:hAnsi="黑体" w:eastAsia="黑体" w:cs="黑体"/>
          <w:b/>
          <w:bCs/>
          <w:color w:val="000000"/>
          <w:kern w:val="0"/>
          <w:sz w:val="32"/>
          <w:szCs w:val="32"/>
          <w:lang w:val="en-US" w:eastAsia="zh-CN"/>
        </w:rPr>
        <w:t>四、对2022年度人大常委会审议意见的落实情况</w:t>
      </w:r>
    </w:p>
    <w:p w14:paraId="1FE3A63E">
      <w:pPr>
        <w:keepNext w:val="0"/>
        <w:keepLines w:val="0"/>
        <w:pageBreakBefore w:val="0"/>
        <w:widowControl w:val="0"/>
        <w:kinsoku/>
        <w:wordWrap/>
        <w:overflowPunct/>
        <w:topLinePunct w:val="0"/>
        <w:autoSpaceDE/>
        <w:autoSpaceDN/>
        <w:bidi w:val="0"/>
        <w:adjustRightInd/>
        <w:snapToGrid/>
        <w:spacing w:line="640" w:lineRule="atLeast"/>
        <w:ind w:firstLine="643" w:firstLineChars="200"/>
        <w:jc w:val="both"/>
        <w:textAlignment w:val="auto"/>
        <w:rPr>
          <w:rFonts w:hint="eastAsia" w:ascii="Times New Roman" w:hAnsi="Times New Roman" w:eastAsia="仿宋" w:cs="Times New Roman"/>
          <w:b/>
          <w:bCs/>
          <w:color w:val="000000"/>
          <w:kern w:val="0"/>
          <w:sz w:val="32"/>
          <w:szCs w:val="32"/>
          <w:lang w:val="en-US" w:eastAsia="zh-CN"/>
        </w:rPr>
      </w:pPr>
      <w:r>
        <w:rPr>
          <w:rFonts w:hint="eastAsia" w:ascii="Times New Roman" w:hAnsi="Times New Roman" w:eastAsia="仿宋" w:cs="Times New Roman"/>
          <w:b/>
          <w:bCs/>
          <w:color w:val="000000"/>
          <w:kern w:val="0"/>
          <w:sz w:val="32"/>
          <w:szCs w:val="32"/>
          <w:lang w:val="en-US" w:eastAsia="zh-CN"/>
        </w:rPr>
        <w:t>（一）关于进一步理顺国有资产管理体制的意见</w:t>
      </w:r>
    </w:p>
    <w:p w14:paraId="628F69D8">
      <w:pPr>
        <w:keepNext w:val="0"/>
        <w:keepLines w:val="0"/>
        <w:pageBreakBefore w:val="0"/>
        <w:widowControl w:val="0"/>
        <w:kinsoku/>
        <w:wordWrap/>
        <w:overflowPunct/>
        <w:topLinePunct w:val="0"/>
        <w:autoSpaceDE/>
        <w:autoSpaceDN/>
        <w:bidi w:val="0"/>
        <w:adjustRightInd/>
        <w:snapToGrid/>
        <w:spacing w:line="640" w:lineRule="atLeast"/>
        <w:ind w:left="0" w:leftChars="0" w:firstLine="643" w:firstLineChars="200"/>
        <w:jc w:val="both"/>
        <w:textAlignment w:val="auto"/>
        <w:rPr>
          <w:rFonts w:hint="eastAsia" w:ascii="仿宋" w:hAnsi="仿宋" w:eastAsia="仿宋" w:cs="仿宋"/>
          <w:sz w:val="32"/>
          <w:szCs w:val="32"/>
          <w:lang w:val="en-US" w:eastAsia="zh-CN"/>
        </w:rPr>
      </w:pPr>
      <w:r>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t>一是压实部门管理职责。</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在厘清现有各类资产和保障性用房基础上，由县政府办牵头，国资办和相关职能部门共同参与，开展了国有资产（房屋类资产）清理“回头看”工作，查漏补缺，明确部门主体责任，推动存量问题进一步整改落实。依据《玉山县公共租赁住房管理实施细则》玉府字〔2021〕23号文件精神，就我县公共租赁住房管理，进一步明确管理主体，压实部门管理职责，由县住房和城乡建设局负责全县公共租赁住房管理相关政策的制订和对管理工作进行指导和监督，县住房建设保障中心负责县城内的公共租赁住房的管理，县属资产经营发展有限公司负责管理安置房剩余房产工作，同时将各乡镇、各县直单位的经营性资产纳入统一经营管理</w:t>
      </w:r>
      <w:r>
        <w:rPr>
          <w:rFonts w:hint="eastAsia" w:ascii="仿宋" w:hAnsi="仿宋" w:eastAsia="仿宋" w:cs="仿宋"/>
          <w:sz w:val="32"/>
          <w:szCs w:val="32"/>
          <w:lang w:val="en-US" w:eastAsia="zh-CN"/>
        </w:rPr>
        <w:t>。</w:t>
      </w:r>
    </w:p>
    <w:p w14:paraId="57AE22DA">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left"/>
        <w:textAlignment w:val="auto"/>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pPr>
      <w:r>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t>二是理顺产权关系。</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在原企业国有资产产权管理的基础上，进一步完善国企产权归属，结合我县《国企平台公司优化升级实施方案》和《玉山县国有企业改革深化提升行动工作方案》，进行企业重组，整合资源，对资产进行重新组合、调整和配置，明晰产权界限，优化国企资产管理。</w:t>
      </w:r>
    </w:p>
    <w:p w14:paraId="35E6ED5A">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left"/>
        <w:textAlignment w:val="auto"/>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pPr>
      <w:r>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t>（二）关于进一步摸清国有资产底数的意见</w:t>
      </w:r>
    </w:p>
    <w:p w14:paraId="3096346F">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lang w:val="en-US" w:eastAsia="zh-CN"/>
        </w:rPr>
      </w:pP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县财政局制定了《玉山县行政事业单位资产清查工作方案》，在全县组织开展行政事业单位资产清查工作，全面、真实、完整地摸清各部门单位资产的总量、结构、分布、使用状况，对清查结果依法依规进行处理，依托预算一体化系统资产模块，加强资产核实、变更、补登工作，规范行政事业单位资产管理，避免资产流失和浪费。根据玉府办抄字</w:t>
      </w:r>
      <w:r>
        <w:rPr>
          <w:rFonts w:hint="default"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〔202</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1</w:t>
      </w:r>
      <w:r>
        <w:rPr>
          <w:rFonts w:hint="default"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170</w:t>
      </w:r>
      <w:r>
        <w:rPr>
          <w:rFonts w:hint="default"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号</w:t>
      </w:r>
      <w:r>
        <w:rPr>
          <w:rFonts w:hint="eastAsia" w:ascii="Times New Roman" w:hAnsi="Times New Roman" w:eastAsia="仿宋" w:cs="Times New Roman"/>
          <w:color w:val="000000" w:themeColor="text1"/>
          <w:kern w:val="0"/>
          <w:sz w:val="32"/>
          <w:szCs w:val="32"/>
          <w:lang w:eastAsia="zh-CN"/>
          <w14:textFill>
            <w14:solidFill>
              <w14:schemeClr w14:val="tx1"/>
            </w14:solidFill>
          </w14:textFill>
        </w:rPr>
        <w:t>精神，</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县属资产经营发展有限公司</w:t>
      </w:r>
      <w:r>
        <w:rPr>
          <w:rFonts w:hint="eastAsia" w:ascii="仿宋" w:hAnsi="仿宋" w:eastAsia="仿宋" w:cs="仿宋"/>
          <w:sz w:val="32"/>
          <w:szCs w:val="32"/>
          <w:lang w:val="en-US" w:eastAsia="zh-CN"/>
        </w:rPr>
        <w:t>加强对应交未移交的经营性资产办理相关移交手续，完成了对文广旅局、紫湖镇等5个行政事业单位13758平方米建筑面积的房屋资产移交，进一步规范国有资产经营管理。</w:t>
      </w:r>
    </w:p>
    <w:p w14:paraId="77642B79">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left"/>
        <w:textAlignment w:val="auto"/>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pPr>
      <w:r>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t>（三）关于进一步加快国有资产数字化管理平台建设的意见</w:t>
      </w:r>
    </w:p>
    <w:p w14:paraId="4A208885">
      <w:pPr>
        <w:keepNext w:val="0"/>
        <w:keepLines w:val="0"/>
        <w:pageBreakBefore w:val="0"/>
        <w:widowControl w:val="0"/>
        <w:kinsoku/>
        <w:wordWrap/>
        <w:overflowPunct/>
        <w:topLinePunct w:val="0"/>
        <w:autoSpaceDE/>
        <w:autoSpaceDN/>
        <w:bidi w:val="0"/>
        <w:adjustRightInd/>
        <w:snapToGrid/>
        <w:spacing w:line="640" w:lineRule="atLeast"/>
        <w:ind w:firstLine="640" w:firstLineChars="200"/>
        <w:jc w:val="both"/>
        <w:textAlignment w:val="auto"/>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pPr>
      <w:r>
        <w:rPr>
          <w:rFonts w:hint="eastAsia" w:ascii="Times New Roman" w:hAnsi="Times New Roman" w:eastAsia="仿宋" w:cs="Times New Roman"/>
          <w:b w:val="0"/>
          <w:bCs w:val="0"/>
          <w:color w:val="000000" w:themeColor="text1"/>
          <w:kern w:val="0"/>
          <w:sz w:val="32"/>
          <w:szCs w:val="32"/>
          <w:shd w:val="clear" w:color="auto" w:fill="auto"/>
          <w:lang w:val="en-US" w:eastAsia="zh-CN"/>
          <w14:textFill>
            <w14:solidFill>
              <w14:schemeClr w14:val="tx1"/>
            </w14:solidFill>
          </w14:textFill>
        </w:rPr>
        <w:t>推进玉山县国有资产管理系统建设</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，由县国资办牵头，县属资产经营发展有限公司</w:t>
      </w:r>
      <w:r>
        <w:rPr>
          <w:rFonts w:hint="eastAsia" w:ascii="Times New Roman" w:hAnsi="Times New Roman" w:eastAsia="仿宋" w:cs="Times New Roman"/>
          <w:b w:val="0"/>
          <w:bCs w:val="0"/>
          <w:color w:val="000000" w:themeColor="text1"/>
          <w:kern w:val="0"/>
          <w:sz w:val="32"/>
          <w:szCs w:val="32"/>
          <w:shd w:val="clear" w:color="auto" w:fill="auto"/>
          <w:lang w:val="en-US" w:eastAsia="zh-CN"/>
          <w14:textFill>
            <w14:solidFill>
              <w14:schemeClr w14:val="tx1"/>
            </w14:solidFill>
          </w14:textFill>
        </w:rPr>
        <w:t>作为实施主体，</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收集全县各行政企事业单位资产数据信息，按照一户一档要求，推进国有资产信息入库入系统工作，形成一个统一完善的全县国有资产信息化管理系统，管理系统主要包括指挥中心、资产档案、资产管理等功能模块，实现国有资产数字化、信息化管理目标，做到全县国有资产信息有据可查、信息共享，资产动态管理，堵塞管理漏洞，以“智慧国资、数字国企”建设，促进国资监管效能提升。</w:t>
      </w:r>
    </w:p>
    <w:p w14:paraId="65374328">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left"/>
        <w:textAlignment w:val="auto"/>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pPr>
      <w:r>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t>（四）关于进一步加快国有平台公司现代化治理步伐的意见</w:t>
      </w:r>
    </w:p>
    <w:p w14:paraId="3DA16746">
      <w:pPr>
        <w:bidi w:val="0"/>
        <w:ind w:firstLine="640" w:firstLineChars="200"/>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pPr>
      <w:r>
        <w:rPr>
          <w:rFonts w:hint="eastAsia" w:ascii="Times New Roman" w:hAnsi="Times New Roman" w:eastAsia="仿宋" w:cs="Times New Roman"/>
          <w:b w:val="0"/>
          <w:bCs w:val="0"/>
          <w:color w:val="000000" w:themeColor="text1"/>
          <w:kern w:val="0"/>
          <w:sz w:val="32"/>
          <w:szCs w:val="32"/>
          <w:shd w:val="clear" w:color="auto" w:fill="auto"/>
          <w:lang w:val="en-US" w:eastAsia="zh-CN"/>
          <w14:textFill>
            <w14:solidFill>
              <w14:schemeClr w14:val="tx1"/>
            </w14:solidFill>
          </w14:textFill>
        </w:rPr>
        <w:t>一是</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优化国有企业治理结构，持续推进董事会建设，探索经理层成员任期制契约化管理。二是实施人事及薪酬制度改革，进一步修订完善县属国有企业负责人薪酬制度实施办法，根据企业发展的需求，实行定岗定员，确定聘用人员的指标总额，加强工资总额管控</w:t>
      </w:r>
      <w:r>
        <w:rPr>
          <w:rFonts w:hint="eastAsia" w:ascii="仿宋" w:hAnsi="仿宋" w:eastAsia="仿宋" w:cs="仿宋"/>
          <w:sz w:val="32"/>
          <w:szCs w:val="32"/>
          <w:u w:val="none"/>
          <w:lang w:val="en-US" w:eastAsia="zh-CN"/>
        </w:rPr>
        <w:t>。三</w:t>
      </w: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是进一步完善经营业绩考核，合理设置指标体系，强化考核结果运用，发挥考核“指挥棒”作用，提升企业管理效能，推动国有企业良性发展。</w:t>
      </w:r>
    </w:p>
    <w:p w14:paraId="4B019EF5">
      <w:pPr>
        <w:bidi w:val="0"/>
        <w:ind w:firstLine="643" w:firstLineChars="200"/>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pPr>
      <w:r>
        <w:rPr>
          <w:rFonts w:hint="eastAsia" w:ascii="Times New Roman" w:hAnsi="Times New Roman" w:eastAsia="仿宋" w:cs="Times New Roman"/>
          <w:b/>
          <w:bCs/>
          <w:color w:val="000000" w:themeColor="text1"/>
          <w:kern w:val="0"/>
          <w:sz w:val="32"/>
          <w:szCs w:val="32"/>
          <w:shd w:val="clear" w:color="auto" w:fill="auto"/>
          <w:lang w:val="en-US" w:eastAsia="zh-CN"/>
          <w14:textFill>
            <w14:solidFill>
              <w14:schemeClr w14:val="tx1"/>
            </w14:solidFill>
          </w14:textFill>
        </w:rPr>
        <w:t>（五）关于进一步加强审计监督的意见</w:t>
      </w:r>
    </w:p>
    <w:p w14:paraId="2BA91FF4">
      <w:pPr>
        <w:bidi w:val="0"/>
        <w:ind w:firstLine="640" w:firstLineChars="200"/>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pP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一是强化审计监督管理。为进一步加大对我县国有资产监督管理，2024年县审计局组织开展对双明镇党委书记胥诗乐、镇长程玉芬的自然资源资产任中经济责任审计。同时在部门预算执行审计及经济责任审计中，将行政事业单位、乡镇的国有资产、资金的管理纳入审计监督的重要内容。通过审计监督进一步推进国有资产、资金、资源规范管理、高效使用。</w:t>
      </w:r>
    </w:p>
    <w:p w14:paraId="539C8438">
      <w:pPr>
        <w:bidi w:val="0"/>
        <w:ind w:firstLine="640" w:firstLineChars="200"/>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pPr>
      <w: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t>二是积极推进审计发现问题整改落实。由于县委、政府的高位推动、县人大的有力督导，县纪委、财政、审计等多部门的联动及相关部门乡镇领导的重视，2022年开展对12个县直有关部门及14个乡镇经营性国有资产和保障用房管理使用情况审计，准确梳理和掌握保障用房管理工作情况，采取强有力的措施，推进审计发现的问题整改得到进一步的提升，加强保障性用房保障水平，为完善我县住房保障体系打下坚实基础。</w:t>
      </w:r>
    </w:p>
    <w:p w14:paraId="48E09D0C">
      <w:pPr>
        <w:rPr>
          <w:rFonts w:hint="eastAsia" w:ascii="Times New Roman" w:hAnsi="Times New Roman" w:eastAsia="仿宋" w:cs="Times New Roman"/>
          <w:color w:val="000000" w:themeColor="text1"/>
          <w:kern w:val="0"/>
          <w:sz w:val="32"/>
          <w:szCs w:val="32"/>
          <w:shd w:val="clear" w:color="auto" w:fill="auto"/>
          <w:lang w:val="en-US" w:eastAsia="zh-CN"/>
          <w14:textFill>
            <w14:solidFill>
              <w14:schemeClr w14:val="tx1"/>
            </w14:solidFill>
          </w14:textFill>
        </w:rPr>
      </w:pPr>
    </w:p>
    <w:p w14:paraId="21A00E86">
      <w:pPr>
        <w:pStyle w:val="2"/>
        <w:rPr>
          <w:rFonts w:hint="eastAsia"/>
          <w:lang w:val="en-US" w:eastAsia="zh-CN"/>
        </w:rPr>
      </w:pPr>
    </w:p>
    <w:p w14:paraId="2F171340">
      <w:pPr>
        <w:keepNext w:val="0"/>
        <w:keepLines w:val="0"/>
        <w:pageBreakBefore w:val="0"/>
        <w:widowControl w:val="0"/>
        <w:kinsoku/>
        <w:wordWrap/>
        <w:overflowPunct/>
        <w:topLinePunct w:val="0"/>
        <w:autoSpaceDE/>
        <w:autoSpaceDN/>
        <w:bidi w:val="0"/>
        <w:adjustRightInd/>
        <w:snapToGrid/>
        <w:spacing w:line="640" w:lineRule="atLeast"/>
        <w:ind w:left="0" w:leftChars="0" w:firstLine="640" w:firstLineChars="200"/>
        <w:jc w:val="both"/>
        <w:textAlignment w:val="auto"/>
        <w:rPr>
          <w:rFonts w:hint="default" w:ascii="Times New Roman" w:hAnsi="Times New Roman" w:eastAsia="仿宋" w:cs="Times New Roman"/>
          <w:color w:val="000000"/>
          <w:kern w:val="0"/>
          <w:sz w:val="32"/>
          <w:szCs w:val="32"/>
          <w:lang w:val="en-US" w:eastAsia="zh-CN"/>
        </w:rPr>
      </w:pPr>
      <w:r>
        <w:rPr>
          <w:rFonts w:hint="eastAsia" w:ascii="Times New Roman" w:hAnsi="Times New Roman" w:eastAsia="仿宋" w:cs="Times New Roman"/>
          <w:color w:val="000000"/>
          <w:kern w:val="0"/>
          <w:sz w:val="32"/>
          <w:szCs w:val="32"/>
          <w:lang w:val="en-US" w:eastAsia="zh-CN"/>
        </w:rPr>
        <w:t xml:space="preserve">                              2024年12月2</w:t>
      </w:r>
      <w:bookmarkStart w:id="0" w:name="_GoBack"/>
      <w:bookmarkEnd w:id="0"/>
      <w:r>
        <w:rPr>
          <w:rFonts w:hint="eastAsia" w:ascii="Times New Roman" w:hAnsi="Times New Roman" w:eastAsia="仿宋" w:cs="Times New Roman"/>
          <w:color w:val="000000"/>
          <w:kern w:val="0"/>
          <w:sz w:val="32"/>
          <w:szCs w:val="32"/>
          <w:lang w:val="en-US" w:eastAsia="zh-CN"/>
        </w:rPr>
        <w:t>7日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4AE5F">
    <w:pPr>
      <w:pStyle w:val="11"/>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330FB6A3">
                          <w:pPr>
                            <w:pStyle w:val="11"/>
                            <w:rPr>
                              <w:rStyle w:val="18"/>
                              <w:rFonts w:hint="eastAsia"/>
                              <w:sz w:val="28"/>
                              <w:szCs w:val="28"/>
                            </w:rPr>
                          </w:pPr>
                          <w:r>
                            <w:rPr>
                              <w:rStyle w:val="18"/>
                              <w:rFonts w:hint="eastAsia"/>
                              <w:sz w:val="28"/>
                              <w:szCs w:val="28"/>
                            </w:rPr>
                            <w:t xml:space="preserve">— </w:t>
                          </w:r>
                          <w:r>
                            <w:rPr>
                              <w:rStyle w:val="18"/>
                              <w:sz w:val="28"/>
                              <w:szCs w:val="28"/>
                            </w:rPr>
                            <w:fldChar w:fldCharType="begin"/>
                          </w:r>
                          <w:r>
                            <w:rPr>
                              <w:rStyle w:val="18"/>
                              <w:sz w:val="28"/>
                              <w:szCs w:val="28"/>
                            </w:rPr>
                            <w:instrText xml:space="preserve">PAGE  </w:instrText>
                          </w:r>
                          <w:r>
                            <w:rPr>
                              <w:rStyle w:val="18"/>
                              <w:sz w:val="28"/>
                              <w:szCs w:val="28"/>
                            </w:rPr>
                            <w:fldChar w:fldCharType="separate"/>
                          </w:r>
                          <w:r>
                            <w:rPr>
                              <w:rStyle w:val="18"/>
                              <w:sz w:val="28"/>
                              <w:szCs w:val="28"/>
                            </w:rPr>
                            <w:t>1</w:t>
                          </w:r>
                          <w:r>
                            <w:rPr>
                              <w:rStyle w:val="18"/>
                              <w:sz w:val="28"/>
                              <w:szCs w:val="28"/>
                            </w:rPr>
                            <w:fldChar w:fldCharType="end"/>
                          </w:r>
                          <w:r>
                            <w:rPr>
                              <w:rStyle w:val="18"/>
                              <w:rFonts w:hint="eastAsia"/>
                              <w:sz w:val="28"/>
                              <w:szCs w:val="28"/>
                            </w:rPr>
                            <w:t xml:space="preserve"> —</w:t>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fill on="f" focussize="0,0"/>
              <v:stroke on="f"/>
              <v:imagedata o:title=""/>
              <o:lock v:ext="edit" aspectratio="f"/>
              <v:textbox inset="0mm,0mm,0mm,0mm" style="mso-fit-shape-to-text:t;">
                <w:txbxContent>
                  <w:p w14:paraId="330FB6A3">
                    <w:pPr>
                      <w:pStyle w:val="11"/>
                      <w:rPr>
                        <w:rStyle w:val="18"/>
                        <w:rFonts w:hint="eastAsia"/>
                        <w:sz w:val="28"/>
                        <w:szCs w:val="28"/>
                      </w:rPr>
                    </w:pPr>
                    <w:r>
                      <w:rPr>
                        <w:rStyle w:val="18"/>
                        <w:rFonts w:hint="eastAsia"/>
                        <w:sz w:val="28"/>
                        <w:szCs w:val="28"/>
                      </w:rPr>
                      <w:t xml:space="preserve">— </w:t>
                    </w:r>
                    <w:r>
                      <w:rPr>
                        <w:rStyle w:val="18"/>
                        <w:sz w:val="28"/>
                        <w:szCs w:val="28"/>
                      </w:rPr>
                      <w:fldChar w:fldCharType="begin"/>
                    </w:r>
                    <w:r>
                      <w:rPr>
                        <w:rStyle w:val="18"/>
                        <w:sz w:val="28"/>
                        <w:szCs w:val="28"/>
                      </w:rPr>
                      <w:instrText xml:space="preserve">PAGE  </w:instrText>
                    </w:r>
                    <w:r>
                      <w:rPr>
                        <w:rStyle w:val="18"/>
                        <w:sz w:val="28"/>
                        <w:szCs w:val="28"/>
                      </w:rPr>
                      <w:fldChar w:fldCharType="separate"/>
                    </w:r>
                    <w:r>
                      <w:rPr>
                        <w:rStyle w:val="18"/>
                        <w:sz w:val="28"/>
                        <w:szCs w:val="28"/>
                      </w:rPr>
                      <w:t>1</w:t>
                    </w:r>
                    <w:r>
                      <w:rPr>
                        <w:rStyle w:val="18"/>
                        <w:sz w:val="28"/>
                        <w:szCs w:val="28"/>
                      </w:rPr>
                      <w:fldChar w:fldCharType="end"/>
                    </w:r>
                    <w:r>
                      <w:rPr>
                        <w:rStyle w:val="18"/>
                        <w:rFonts w:hint="eastAsia"/>
                        <w:sz w:val="28"/>
                        <w:szCs w:val="28"/>
                      </w:rPr>
                      <w:t xml:space="preserve"> —</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wNjE0YzNjYjkxMzllMzZiNzYwMGVhMzA5YTBlYjAifQ=="/>
  </w:docVars>
  <w:rsids>
    <w:rsidRoot w:val="00000000"/>
    <w:rsid w:val="004277C9"/>
    <w:rsid w:val="0067722F"/>
    <w:rsid w:val="00733E26"/>
    <w:rsid w:val="007756C4"/>
    <w:rsid w:val="00C11035"/>
    <w:rsid w:val="00C603FA"/>
    <w:rsid w:val="00D24FF0"/>
    <w:rsid w:val="00F907CF"/>
    <w:rsid w:val="00FC3E1B"/>
    <w:rsid w:val="01080A12"/>
    <w:rsid w:val="01115B19"/>
    <w:rsid w:val="011B0745"/>
    <w:rsid w:val="012F2443"/>
    <w:rsid w:val="01521B58"/>
    <w:rsid w:val="01545A05"/>
    <w:rsid w:val="019127B6"/>
    <w:rsid w:val="01B110AA"/>
    <w:rsid w:val="01C963F3"/>
    <w:rsid w:val="01E054EB"/>
    <w:rsid w:val="01FF1E15"/>
    <w:rsid w:val="02377801"/>
    <w:rsid w:val="02467A44"/>
    <w:rsid w:val="02532161"/>
    <w:rsid w:val="02671E83"/>
    <w:rsid w:val="02A209F3"/>
    <w:rsid w:val="02AE1145"/>
    <w:rsid w:val="02B80216"/>
    <w:rsid w:val="02FE3E7B"/>
    <w:rsid w:val="03031491"/>
    <w:rsid w:val="030B6598"/>
    <w:rsid w:val="03190CB5"/>
    <w:rsid w:val="03323B24"/>
    <w:rsid w:val="033E696D"/>
    <w:rsid w:val="03443858"/>
    <w:rsid w:val="035D3297"/>
    <w:rsid w:val="038E716D"/>
    <w:rsid w:val="03A32C74"/>
    <w:rsid w:val="03C230FA"/>
    <w:rsid w:val="03D177E1"/>
    <w:rsid w:val="03F37758"/>
    <w:rsid w:val="03F4702C"/>
    <w:rsid w:val="03FF434E"/>
    <w:rsid w:val="04025BED"/>
    <w:rsid w:val="040F3E66"/>
    <w:rsid w:val="04163446"/>
    <w:rsid w:val="043F0BEF"/>
    <w:rsid w:val="04471852"/>
    <w:rsid w:val="044B1342"/>
    <w:rsid w:val="044C6E68"/>
    <w:rsid w:val="046E3282"/>
    <w:rsid w:val="04784101"/>
    <w:rsid w:val="04785EAF"/>
    <w:rsid w:val="048E122E"/>
    <w:rsid w:val="04926F71"/>
    <w:rsid w:val="04A62A1C"/>
    <w:rsid w:val="04DF5F2E"/>
    <w:rsid w:val="04EF2002"/>
    <w:rsid w:val="050D65F7"/>
    <w:rsid w:val="050E236F"/>
    <w:rsid w:val="051C683A"/>
    <w:rsid w:val="05237BC9"/>
    <w:rsid w:val="052D4EEB"/>
    <w:rsid w:val="05322502"/>
    <w:rsid w:val="05614B95"/>
    <w:rsid w:val="058645FB"/>
    <w:rsid w:val="0588752C"/>
    <w:rsid w:val="05BB6053"/>
    <w:rsid w:val="05BE3D95"/>
    <w:rsid w:val="05EE467B"/>
    <w:rsid w:val="05F41565"/>
    <w:rsid w:val="060914B4"/>
    <w:rsid w:val="060A6FDB"/>
    <w:rsid w:val="0648365F"/>
    <w:rsid w:val="06654211"/>
    <w:rsid w:val="066F6640"/>
    <w:rsid w:val="0671705A"/>
    <w:rsid w:val="06D03D80"/>
    <w:rsid w:val="06D7510F"/>
    <w:rsid w:val="06D870D9"/>
    <w:rsid w:val="07013F3A"/>
    <w:rsid w:val="070752C8"/>
    <w:rsid w:val="070E2AFA"/>
    <w:rsid w:val="0721282E"/>
    <w:rsid w:val="073065CD"/>
    <w:rsid w:val="074958E1"/>
    <w:rsid w:val="07610E7C"/>
    <w:rsid w:val="07794418"/>
    <w:rsid w:val="07846919"/>
    <w:rsid w:val="07AD40C1"/>
    <w:rsid w:val="07C66F31"/>
    <w:rsid w:val="07DE427B"/>
    <w:rsid w:val="07EA2C20"/>
    <w:rsid w:val="07F10452"/>
    <w:rsid w:val="07FC0BA5"/>
    <w:rsid w:val="07FE66CB"/>
    <w:rsid w:val="0808579C"/>
    <w:rsid w:val="082A74C0"/>
    <w:rsid w:val="08362309"/>
    <w:rsid w:val="08381BDD"/>
    <w:rsid w:val="08387E2F"/>
    <w:rsid w:val="085209AC"/>
    <w:rsid w:val="086A5B0F"/>
    <w:rsid w:val="0895702F"/>
    <w:rsid w:val="08B1373D"/>
    <w:rsid w:val="08DF474E"/>
    <w:rsid w:val="08EC0C19"/>
    <w:rsid w:val="08EC29C7"/>
    <w:rsid w:val="09167A44"/>
    <w:rsid w:val="091F4B4B"/>
    <w:rsid w:val="09336848"/>
    <w:rsid w:val="09371E95"/>
    <w:rsid w:val="094620D8"/>
    <w:rsid w:val="09491BC8"/>
    <w:rsid w:val="095C5D9F"/>
    <w:rsid w:val="098A46BA"/>
    <w:rsid w:val="09BE25B6"/>
    <w:rsid w:val="09C474A0"/>
    <w:rsid w:val="0A122902"/>
    <w:rsid w:val="0A3B59B5"/>
    <w:rsid w:val="0A410AF1"/>
    <w:rsid w:val="0A4725AB"/>
    <w:rsid w:val="0A690774"/>
    <w:rsid w:val="0A6A0048"/>
    <w:rsid w:val="0A7D7D7B"/>
    <w:rsid w:val="0A93759F"/>
    <w:rsid w:val="0AAE262A"/>
    <w:rsid w:val="0AB35ECF"/>
    <w:rsid w:val="0ABB08A3"/>
    <w:rsid w:val="0AD16319"/>
    <w:rsid w:val="0ADA14C3"/>
    <w:rsid w:val="0AFB3396"/>
    <w:rsid w:val="0B024724"/>
    <w:rsid w:val="0B071D3B"/>
    <w:rsid w:val="0B093D05"/>
    <w:rsid w:val="0B1B7594"/>
    <w:rsid w:val="0B354AFA"/>
    <w:rsid w:val="0B4B60CB"/>
    <w:rsid w:val="0B57681E"/>
    <w:rsid w:val="0B6E5C7D"/>
    <w:rsid w:val="0B9D61FB"/>
    <w:rsid w:val="0BA13F3D"/>
    <w:rsid w:val="0BA61553"/>
    <w:rsid w:val="0BCB2D68"/>
    <w:rsid w:val="0BD0037E"/>
    <w:rsid w:val="0C3758A5"/>
    <w:rsid w:val="0C3B6140"/>
    <w:rsid w:val="0C5E3BDC"/>
    <w:rsid w:val="0C782EF0"/>
    <w:rsid w:val="0C8D626F"/>
    <w:rsid w:val="0CA912FB"/>
    <w:rsid w:val="0CB63A18"/>
    <w:rsid w:val="0CBD6B55"/>
    <w:rsid w:val="0CBF0B1F"/>
    <w:rsid w:val="0CE045F1"/>
    <w:rsid w:val="0CE42333"/>
    <w:rsid w:val="0D04253E"/>
    <w:rsid w:val="0D18022F"/>
    <w:rsid w:val="0D186FB0"/>
    <w:rsid w:val="0D6214AA"/>
    <w:rsid w:val="0D9C676A"/>
    <w:rsid w:val="0DD203DE"/>
    <w:rsid w:val="0DD56120"/>
    <w:rsid w:val="0DE819AF"/>
    <w:rsid w:val="0DFC18FF"/>
    <w:rsid w:val="0DFF4F4B"/>
    <w:rsid w:val="0E172295"/>
    <w:rsid w:val="0E211365"/>
    <w:rsid w:val="0E460F3E"/>
    <w:rsid w:val="0E5434E9"/>
    <w:rsid w:val="0E7E40C2"/>
    <w:rsid w:val="0E835B7C"/>
    <w:rsid w:val="0E903DF5"/>
    <w:rsid w:val="0E9D6C3E"/>
    <w:rsid w:val="0EBB5316"/>
    <w:rsid w:val="0ED62150"/>
    <w:rsid w:val="0EE7435D"/>
    <w:rsid w:val="0F2C7FC2"/>
    <w:rsid w:val="0F566DED"/>
    <w:rsid w:val="0F657030"/>
    <w:rsid w:val="0F7F00F1"/>
    <w:rsid w:val="0F7F4595"/>
    <w:rsid w:val="0F9B0CA3"/>
    <w:rsid w:val="0FA43FFC"/>
    <w:rsid w:val="0FC93A62"/>
    <w:rsid w:val="0FE443F8"/>
    <w:rsid w:val="0FF87EA4"/>
    <w:rsid w:val="0FFC5BE6"/>
    <w:rsid w:val="10101691"/>
    <w:rsid w:val="10505F32"/>
    <w:rsid w:val="10B464C1"/>
    <w:rsid w:val="10E52CCF"/>
    <w:rsid w:val="10E70644"/>
    <w:rsid w:val="111365EE"/>
    <w:rsid w:val="11274EE5"/>
    <w:rsid w:val="113A4C18"/>
    <w:rsid w:val="113B273E"/>
    <w:rsid w:val="113D0264"/>
    <w:rsid w:val="1154735C"/>
    <w:rsid w:val="115B2DE0"/>
    <w:rsid w:val="115B693C"/>
    <w:rsid w:val="11671785"/>
    <w:rsid w:val="116F23E8"/>
    <w:rsid w:val="1191235E"/>
    <w:rsid w:val="11AB1672"/>
    <w:rsid w:val="11C52008"/>
    <w:rsid w:val="11D010D8"/>
    <w:rsid w:val="12174F59"/>
    <w:rsid w:val="121A0B3B"/>
    <w:rsid w:val="1255782F"/>
    <w:rsid w:val="125C296C"/>
    <w:rsid w:val="12661A3D"/>
    <w:rsid w:val="126E269F"/>
    <w:rsid w:val="129817C1"/>
    <w:rsid w:val="129B7938"/>
    <w:rsid w:val="12A10CC7"/>
    <w:rsid w:val="12AD766B"/>
    <w:rsid w:val="12B10F0A"/>
    <w:rsid w:val="12D270D2"/>
    <w:rsid w:val="12FE1DB8"/>
    <w:rsid w:val="131B2827"/>
    <w:rsid w:val="13203999"/>
    <w:rsid w:val="13250FB0"/>
    <w:rsid w:val="13382F7C"/>
    <w:rsid w:val="134C478E"/>
    <w:rsid w:val="13511DA5"/>
    <w:rsid w:val="138403CC"/>
    <w:rsid w:val="139D148E"/>
    <w:rsid w:val="13E0137B"/>
    <w:rsid w:val="13FA68E0"/>
    <w:rsid w:val="140D6614"/>
    <w:rsid w:val="142C36F6"/>
    <w:rsid w:val="14380591"/>
    <w:rsid w:val="145402E0"/>
    <w:rsid w:val="14641FAC"/>
    <w:rsid w:val="14771CDF"/>
    <w:rsid w:val="14BB2A93"/>
    <w:rsid w:val="14E135FC"/>
    <w:rsid w:val="15282FD9"/>
    <w:rsid w:val="15311E8E"/>
    <w:rsid w:val="15436065"/>
    <w:rsid w:val="1557566D"/>
    <w:rsid w:val="156D6C3E"/>
    <w:rsid w:val="158A77F0"/>
    <w:rsid w:val="158C5316"/>
    <w:rsid w:val="159E329B"/>
    <w:rsid w:val="15A765F4"/>
    <w:rsid w:val="15B66837"/>
    <w:rsid w:val="15B91E83"/>
    <w:rsid w:val="161672D6"/>
    <w:rsid w:val="162C3FA5"/>
    <w:rsid w:val="167C538B"/>
    <w:rsid w:val="16922E00"/>
    <w:rsid w:val="16AE1DDF"/>
    <w:rsid w:val="16BA2357"/>
    <w:rsid w:val="16DA6555"/>
    <w:rsid w:val="16F92E7F"/>
    <w:rsid w:val="16FC471D"/>
    <w:rsid w:val="17084E70"/>
    <w:rsid w:val="1711641B"/>
    <w:rsid w:val="17173305"/>
    <w:rsid w:val="1724750F"/>
    <w:rsid w:val="173B6FF4"/>
    <w:rsid w:val="1768590F"/>
    <w:rsid w:val="176A1687"/>
    <w:rsid w:val="179273AC"/>
    <w:rsid w:val="17B1375A"/>
    <w:rsid w:val="17D11706"/>
    <w:rsid w:val="17EA0A1A"/>
    <w:rsid w:val="17EC02EE"/>
    <w:rsid w:val="181B6E25"/>
    <w:rsid w:val="183F48C2"/>
    <w:rsid w:val="184719C8"/>
    <w:rsid w:val="18475E6C"/>
    <w:rsid w:val="184D61EF"/>
    <w:rsid w:val="185A16FC"/>
    <w:rsid w:val="18616F2E"/>
    <w:rsid w:val="18756535"/>
    <w:rsid w:val="189270E7"/>
    <w:rsid w:val="18954E2A"/>
    <w:rsid w:val="18B51028"/>
    <w:rsid w:val="18CB084B"/>
    <w:rsid w:val="18E216F1"/>
    <w:rsid w:val="18F97167"/>
    <w:rsid w:val="18FF22A3"/>
    <w:rsid w:val="19341F4D"/>
    <w:rsid w:val="19510D51"/>
    <w:rsid w:val="19A76BC3"/>
    <w:rsid w:val="19AD1CFF"/>
    <w:rsid w:val="19C92FDD"/>
    <w:rsid w:val="19E020D4"/>
    <w:rsid w:val="1A004525"/>
    <w:rsid w:val="1A09162B"/>
    <w:rsid w:val="1A1A55E6"/>
    <w:rsid w:val="1A304E0A"/>
    <w:rsid w:val="1A3D3083"/>
    <w:rsid w:val="1A5A1E87"/>
    <w:rsid w:val="1A6B5E42"/>
    <w:rsid w:val="1A732F49"/>
    <w:rsid w:val="1A755AFF"/>
    <w:rsid w:val="1A800F2B"/>
    <w:rsid w:val="1A8962C8"/>
    <w:rsid w:val="1A9F3D3E"/>
    <w:rsid w:val="1AAA2B3C"/>
    <w:rsid w:val="1ABD41C4"/>
    <w:rsid w:val="1ACE4623"/>
    <w:rsid w:val="1AF51BB0"/>
    <w:rsid w:val="1B261D69"/>
    <w:rsid w:val="1B487F31"/>
    <w:rsid w:val="1B8847D2"/>
    <w:rsid w:val="1BAF1D5E"/>
    <w:rsid w:val="1BD9327F"/>
    <w:rsid w:val="1BE340FE"/>
    <w:rsid w:val="1BEA723A"/>
    <w:rsid w:val="1BF14125"/>
    <w:rsid w:val="1C026332"/>
    <w:rsid w:val="1C511068"/>
    <w:rsid w:val="1C5446B4"/>
    <w:rsid w:val="1C597F1C"/>
    <w:rsid w:val="1C694603"/>
    <w:rsid w:val="1C715266"/>
    <w:rsid w:val="1C8A6328"/>
    <w:rsid w:val="1C8F393E"/>
    <w:rsid w:val="1CB470DB"/>
    <w:rsid w:val="1CCC06EE"/>
    <w:rsid w:val="1CE123EB"/>
    <w:rsid w:val="1CE26164"/>
    <w:rsid w:val="1CE343B6"/>
    <w:rsid w:val="1CED6FE2"/>
    <w:rsid w:val="1CFC5477"/>
    <w:rsid w:val="1D04432C"/>
    <w:rsid w:val="1D0936F0"/>
    <w:rsid w:val="1D1207F7"/>
    <w:rsid w:val="1D2422D8"/>
    <w:rsid w:val="1D3C3AC6"/>
    <w:rsid w:val="1D4330A6"/>
    <w:rsid w:val="1D50131F"/>
    <w:rsid w:val="1D85546D"/>
    <w:rsid w:val="1DD27F86"/>
    <w:rsid w:val="1DFB572F"/>
    <w:rsid w:val="1E05035C"/>
    <w:rsid w:val="1E0C16EA"/>
    <w:rsid w:val="1E42335E"/>
    <w:rsid w:val="1E560BB7"/>
    <w:rsid w:val="1E74103D"/>
    <w:rsid w:val="1E7B061E"/>
    <w:rsid w:val="1EA57449"/>
    <w:rsid w:val="1EB4768C"/>
    <w:rsid w:val="1EBD4792"/>
    <w:rsid w:val="1ECE699F"/>
    <w:rsid w:val="1EE937D9"/>
    <w:rsid w:val="1EEC5078"/>
    <w:rsid w:val="1F022AED"/>
    <w:rsid w:val="1F26058A"/>
    <w:rsid w:val="1F2B5BA0"/>
    <w:rsid w:val="1F30765A"/>
    <w:rsid w:val="1F5275D0"/>
    <w:rsid w:val="1F7532BF"/>
    <w:rsid w:val="1F811C64"/>
    <w:rsid w:val="1F8A404B"/>
    <w:rsid w:val="1F8B4890"/>
    <w:rsid w:val="1FA37E2C"/>
    <w:rsid w:val="1FAB0A8F"/>
    <w:rsid w:val="1FB57B5F"/>
    <w:rsid w:val="1FBF3FC8"/>
    <w:rsid w:val="1FC87893"/>
    <w:rsid w:val="1FCF29CF"/>
    <w:rsid w:val="1FD004F5"/>
    <w:rsid w:val="20000DDB"/>
    <w:rsid w:val="203211B0"/>
    <w:rsid w:val="204131A1"/>
    <w:rsid w:val="205D447F"/>
    <w:rsid w:val="205F2F58"/>
    <w:rsid w:val="208512E0"/>
    <w:rsid w:val="20887022"/>
    <w:rsid w:val="20967991"/>
    <w:rsid w:val="20E91FF6"/>
    <w:rsid w:val="20F46465"/>
    <w:rsid w:val="211C7E96"/>
    <w:rsid w:val="213A656E"/>
    <w:rsid w:val="214473ED"/>
    <w:rsid w:val="217001E2"/>
    <w:rsid w:val="21A41C3A"/>
    <w:rsid w:val="21A7211B"/>
    <w:rsid w:val="21BF4CC5"/>
    <w:rsid w:val="21C02DB5"/>
    <w:rsid w:val="21EB1616"/>
    <w:rsid w:val="21FB192E"/>
    <w:rsid w:val="220A5F40"/>
    <w:rsid w:val="221B014E"/>
    <w:rsid w:val="222114DC"/>
    <w:rsid w:val="223905D4"/>
    <w:rsid w:val="223B07F0"/>
    <w:rsid w:val="224A458F"/>
    <w:rsid w:val="22574EFE"/>
    <w:rsid w:val="22575E31"/>
    <w:rsid w:val="22765384"/>
    <w:rsid w:val="22786C6B"/>
    <w:rsid w:val="22A2261D"/>
    <w:rsid w:val="22BA5BB9"/>
    <w:rsid w:val="23515DF1"/>
    <w:rsid w:val="23566F63"/>
    <w:rsid w:val="23621DAC"/>
    <w:rsid w:val="236E69A3"/>
    <w:rsid w:val="23B02B18"/>
    <w:rsid w:val="23B87C1E"/>
    <w:rsid w:val="23F01166"/>
    <w:rsid w:val="240D3AC6"/>
    <w:rsid w:val="24174945"/>
    <w:rsid w:val="242A0B1C"/>
    <w:rsid w:val="244871F4"/>
    <w:rsid w:val="24613E12"/>
    <w:rsid w:val="246F29D3"/>
    <w:rsid w:val="24912949"/>
    <w:rsid w:val="24B65F0C"/>
    <w:rsid w:val="24D10F97"/>
    <w:rsid w:val="24DD0875"/>
    <w:rsid w:val="24DE5462"/>
    <w:rsid w:val="24E25C9C"/>
    <w:rsid w:val="24EF7670"/>
    <w:rsid w:val="2500187D"/>
    <w:rsid w:val="2500362B"/>
    <w:rsid w:val="2504136D"/>
    <w:rsid w:val="252A06A8"/>
    <w:rsid w:val="256040C9"/>
    <w:rsid w:val="25733DFD"/>
    <w:rsid w:val="25A8619C"/>
    <w:rsid w:val="25AB3597"/>
    <w:rsid w:val="25C94365"/>
    <w:rsid w:val="25D54AB7"/>
    <w:rsid w:val="25E23F86"/>
    <w:rsid w:val="25EE7927"/>
    <w:rsid w:val="25F34F3E"/>
    <w:rsid w:val="25FF7D86"/>
    <w:rsid w:val="26062EC3"/>
    <w:rsid w:val="26215F4F"/>
    <w:rsid w:val="267442D0"/>
    <w:rsid w:val="26962499"/>
    <w:rsid w:val="26A56238"/>
    <w:rsid w:val="26AC3A6A"/>
    <w:rsid w:val="26BC7A25"/>
    <w:rsid w:val="26F17ECC"/>
    <w:rsid w:val="270E64D3"/>
    <w:rsid w:val="275E288B"/>
    <w:rsid w:val="27871DE1"/>
    <w:rsid w:val="278A3680"/>
    <w:rsid w:val="27A57555"/>
    <w:rsid w:val="27D03788"/>
    <w:rsid w:val="27F31225"/>
    <w:rsid w:val="281479BE"/>
    <w:rsid w:val="284303FE"/>
    <w:rsid w:val="285048C9"/>
    <w:rsid w:val="28612632"/>
    <w:rsid w:val="287405B8"/>
    <w:rsid w:val="288E0F4E"/>
    <w:rsid w:val="289B3D96"/>
    <w:rsid w:val="28B704A4"/>
    <w:rsid w:val="28F25980"/>
    <w:rsid w:val="295D104C"/>
    <w:rsid w:val="29695C42"/>
    <w:rsid w:val="29932CBF"/>
    <w:rsid w:val="29AE5D4B"/>
    <w:rsid w:val="29B33362"/>
    <w:rsid w:val="29B97BE1"/>
    <w:rsid w:val="29E51041"/>
    <w:rsid w:val="29F574D6"/>
    <w:rsid w:val="2A110088"/>
    <w:rsid w:val="2A2B114A"/>
    <w:rsid w:val="2A2C0A1E"/>
    <w:rsid w:val="2A3F69A3"/>
    <w:rsid w:val="2A50295E"/>
    <w:rsid w:val="2A6D1762"/>
    <w:rsid w:val="2A790107"/>
    <w:rsid w:val="2A7F1496"/>
    <w:rsid w:val="2A975C19"/>
    <w:rsid w:val="2AA91C78"/>
    <w:rsid w:val="2AD0584D"/>
    <w:rsid w:val="2AEC6B2B"/>
    <w:rsid w:val="2AEF03C9"/>
    <w:rsid w:val="2AF43C32"/>
    <w:rsid w:val="2B110340"/>
    <w:rsid w:val="2B163BA8"/>
    <w:rsid w:val="2B22254D"/>
    <w:rsid w:val="2B342280"/>
    <w:rsid w:val="2B365FF8"/>
    <w:rsid w:val="2B395AE8"/>
    <w:rsid w:val="2B3B360F"/>
    <w:rsid w:val="2B520958"/>
    <w:rsid w:val="2B5E72FD"/>
    <w:rsid w:val="2B6C1A1A"/>
    <w:rsid w:val="2B8F74B6"/>
    <w:rsid w:val="2B9E76FA"/>
    <w:rsid w:val="2BC03067"/>
    <w:rsid w:val="2C057779"/>
    <w:rsid w:val="2C33078A"/>
    <w:rsid w:val="2C372028"/>
    <w:rsid w:val="2C4E285C"/>
    <w:rsid w:val="2C7768C8"/>
    <w:rsid w:val="2C8B5ED0"/>
    <w:rsid w:val="2CA43435"/>
    <w:rsid w:val="2CAB0320"/>
    <w:rsid w:val="2CE33F5E"/>
    <w:rsid w:val="2CE850D0"/>
    <w:rsid w:val="2CF75313"/>
    <w:rsid w:val="2D0619FA"/>
    <w:rsid w:val="2D0D0DA5"/>
    <w:rsid w:val="2D2F71A3"/>
    <w:rsid w:val="2D4349FC"/>
    <w:rsid w:val="2D4A18E7"/>
    <w:rsid w:val="2D834DF9"/>
    <w:rsid w:val="2D972291"/>
    <w:rsid w:val="2DC93154"/>
    <w:rsid w:val="2DEF248E"/>
    <w:rsid w:val="2DFE26D1"/>
    <w:rsid w:val="2E0777D8"/>
    <w:rsid w:val="2E693FEF"/>
    <w:rsid w:val="2E6E5AA9"/>
    <w:rsid w:val="2E8928E3"/>
    <w:rsid w:val="2E8C5F2F"/>
    <w:rsid w:val="2E9077CD"/>
    <w:rsid w:val="2E951288"/>
    <w:rsid w:val="2EA63495"/>
    <w:rsid w:val="2EAE5EA6"/>
    <w:rsid w:val="2ED95618"/>
    <w:rsid w:val="2EE61AE3"/>
    <w:rsid w:val="2EE8585B"/>
    <w:rsid w:val="2EF97A69"/>
    <w:rsid w:val="2F0D0E1E"/>
    <w:rsid w:val="2F120B2A"/>
    <w:rsid w:val="2F154177"/>
    <w:rsid w:val="2F1F0B51"/>
    <w:rsid w:val="2F2B74F6"/>
    <w:rsid w:val="2F3B5E89"/>
    <w:rsid w:val="2F4A2072"/>
    <w:rsid w:val="2F522CD5"/>
    <w:rsid w:val="2F594063"/>
    <w:rsid w:val="2F6C023B"/>
    <w:rsid w:val="2FA84FEB"/>
    <w:rsid w:val="2FB971F8"/>
    <w:rsid w:val="2FC8743B"/>
    <w:rsid w:val="2FCE2CA3"/>
    <w:rsid w:val="2FCF4325"/>
    <w:rsid w:val="2FF34D83"/>
    <w:rsid w:val="2FFD70E5"/>
    <w:rsid w:val="2FFE4C0B"/>
    <w:rsid w:val="304765B2"/>
    <w:rsid w:val="30586A11"/>
    <w:rsid w:val="306929CC"/>
    <w:rsid w:val="308C0468"/>
    <w:rsid w:val="30CC4D09"/>
    <w:rsid w:val="30DF2C8E"/>
    <w:rsid w:val="311566B0"/>
    <w:rsid w:val="31576CC8"/>
    <w:rsid w:val="315F792B"/>
    <w:rsid w:val="31745184"/>
    <w:rsid w:val="31B732C3"/>
    <w:rsid w:val="31FE7144"/>
    <w:rsid w:val="32024E86"/>
    <w:rsid w:val="32230959"/>
    <w:rsid w:val="322D17D7"/>
    <w:rsid w:val="323963CE"/>
    <w:rsid w:val="32717916"/>
    <w:rsid w:val="3287538B"/>
    <w:rsid w:val="3293788C"/>
    <w:rsid w:val="32A47CEB"/>
    <w:rsid w:val="32B12408"/>
    <w:rsid w:val="32B67A1F"/>
    <w:rsid w:val="32BA12BD"/>
    <w:rsid w:val="32DD31FD"/>
    <w:rsid w:val="32EB1476"/>
    <w:rsid w:val="32F522F5"/>
    <w:rsid w:val="331C3D26"/>
    <w:rsid w:val="33274478"/>
    <w:rsid w:val="33743B62"/>
    <w:rsid w:val="337771AE"/>
    <w:rsid w:val="340F388A"/>
    <w:rsid w:val="340F73E6"/>
    <w:rsid w:val="34733E19"/>
    <w:rsid w:val="3475470F"/>
    <w:rsid w:val="34833930"/>
    <w:rsid w:val="348576A9"/>
    <w:rsid w:val="34A044E2"/>
    <w:rsid w:val="34F07218"/>
    <w:rsid w:val="35170C48"/>
    <w:rsid w:val="3529097C"/>
    <w:rsid w:val="3566572C"/>
    <w:rsid w:val="356D0868"/>
    <w:rsid w:val="35AA3900"/>
    <w:rsid w:val="35DA3A24"/>
    <w:rsid w:val="35DB7EC8"/>
    <w:rsid w:val="35F66AB0"/>
    <w:rsid w:val="360F1920"/>
    <w:rsid w:val="36160F00"/>
    <w:rsid w:val="361B6516"/>
    <w:rsid w:val="362D624A"/>
    <w:rsid w:val="363B2715"/>
    <w:rsid w:val="364041CF"/>
    <w:rsid w:val="364D41F6"/>
    <w:rsid w:val="36533F02"/>
    <w:rsid w:val="365C4F9B"/>
    <w:rsid w:val="36624145"/>
    <w:rsid w:val="36B85B13"/>
    <w:rsid w:val="36D500B5"/>
    <w:rsid w:val="36E0150E"/>
    <w:rsid w:val="36F823B4"/>
    <w:rsid w:val="36FB00F6"/>
    <w:rsid w:val="37217B5C"/>
    <w:rsid w:val="37305FF2"/>
    <w:rsid w:val="3744384B"/>
    <w:rsid w:val="37492C0F"/>
    <w:rsid w:val="376712E7"/>
    <w:rsid w:val="3776777C"/>
    <w:rsid w:val="377D0B0B"/>
    <w:rsid w:val="37904CE2"/>
    <w:rsid w:val="379522F8"/>
    <w:rsid w:val="37A91900"/>
    <w:rsid w:val="37AD13F0"/>
    <w:rsid w:val="37D03331"/>
    <w:rsid w:val="37D3697D"/>
    <w:rsid w:val="37DC7F27"/>
    <w:rsid w:val="37F25055"/>
    <w:rsid w:val="380134EA"/>
    <w:rsid w:val="381C6576"/>
    <w:rsid w:val="38284F1B"/>
    <w:rsid w:val="384B0C09"/>
    <w:rsid w:val="38657677"/>
    <w:rsid w:val="386C12AB"/>
    <w:rsid w:val="38A5656B"/>
    <w:rsid w:val="38DD7AB3"/>
    <w:rsid w:val="38E5105E"/>
    <w:rsid w:val="38E76B84"/>
    <w:rsid w:val="38EF5A38"/>
    <w:rsid w:val="39131727"/>
    <w:rsid w:val="391334D5"/>
    <w:rsid w:val="3922196A"/>
    <w:rsid w:val="39423DBA"/>
    <w:rsid w:val="39602492"/>
    <w:rsid w:val="39677CC5"/>
    <w:rsid w:val="3971469F"/>
    <w:rsid w:val="39A14F85"/>
    <w:rsid w:val="39AE798D"/>
    <w:rsid w:val="39C742BF"/>
    <w:rsid w:val="39CB2002"/>
    <w:rsid w:val="3A0948D8"/>
    <w:rsid w:val="3A15327D"/>
    <w:rsid w:val="3A481F25"/>
    <w:rsid w:val="3A573895"/>
    <w:rsid w:val="3A5F76FE"/>
    <w:rsid w:val="3A614714"/>
    <w:rsid w:val="3A6A181A"/>
    <w:rsid w:val="3A7461F5"/>
    <w:rsid w:val="3A8A5A19"/>
    <w:rsid w:val="3AB02FA5"/>
    <w:rsid w:val="3AF9494C"/>
    <w:rsid w:val="3AFE1F63"/>
    <w:rsid w:val="3B023801"/>
    <w:rsid w:val="3B251BE5"/>
    <w:rsid w:val="3B273268"/>
    <w:rsid w:val="3B3D0CDD"/>
    <w:rsid w:val="3B60677A"/>
    <w:rsid w:val="3B716BD9"/>
    <w:rsid w:val="3B7E42B1"/>
    <w:rsid w:val="3B7F4E52"/>
    <w:rsid w:val="3B903503"/>
    <w:rsid w:val="3BB321C0"/>
    <w:rsid w:val="3BC9431F"/>
    <w:rsid w:val="3BDC04F6"/>
    <w:rsid w:val="3C017F5D"/>
    <w:rsid w:val="3C047A4D"/>
    <w:rsid w:val="3C137C90"/>
    <w:rsid w:val="3C187054"/>
    <w:rsid w:val="3C236125"/>
    <w:rsid w:val="3C2974B3"/>
    <w:rsid w:val="3C4816E7"/>
    <w:rsid w:val="3C6504EB"/>
    <w:rsid w:val="3C8446EA"/>
    <w:rsid w:val="3C88242C"/>
    <w:rsid w:val="3CDE204C"/>
    <w:rsid w:val="3D163594"/>
    <w:rsid w:val="3D485717"/>
    <w:rsid w:val="3D5642D8"/>
    <w:rsid w:val="3D580050"/>
    <w:rsid w:val="3D6764E5"/>
    <w:rsid w:val="3DB42DAD"/>
    <w:rsid w:val="3DD516A1"/>
    <w:rsid w:val="3DFD4754"/>
    <w:rsid w:val="3E067AAC"/>
    <w:rsid w:val="3E0D0E3B"/>
    <w:rsid w:val="3E5E1696"/>
    <w:rsid w:val="3E703177"/>
    <w:rsid w:val="3E8C0466"/>
    <w:rsid w:val="3E95498C"/>
    <w:rsid w:val="3EA42E21"/>
    <w:rsid w:val="3ED731F7"/>
    <w:rsid w:val="3EDA6843"/>
    <w:rsid w:val="3EDE6333"/>
    <w:rsid w:val="3F067638"/>
    <w:rsid w:val="3F0A35CC"/>
    <w:rsid w:val="3F373C95"/>
    <w:rsid w:val="3F5E1222"/>
    <w:rsid w:val="3F8E1B07"/>
    <w:rsid w:val="3FB83028"/>
    <w:rsid w:val="3FC96FE3"/>
    <w:rsid w:val="3FDD483D"/>
    <w:rsid w:val="3FF34060"/>
    <w:rsid w:val="3FFF2A05"/>
    <w:rsid w:val="4010076E"/>
    <w:rsid w:val="40167D4F"/>
    <w:rsid w:val="407F58F4"/>
    <w:rsid w:val="40905D53"/>
    <w:rsid w:val="409C46F8"/>
    <w:rsid w:val="40E37C31"/>
    <w:rsid w:val="40F40090"/>
    <w:rsid w:val="41076015"/>
    <w:rsid w:val="410D4CAE"/>
    <w:rsid w:val="411249BA"/>
    <w:rsid w:val="414601C0"/>
    <w:rsid w:val="41656898"/>
    <w:rsid w:val="416845DA"/>
    <w:rsid w:val="416A2100"/>
    <w:rsid w:val="416D1BF0"/>
    <w:rsid w:val="416F7716"/>
    <w:rsid w:val="4185518C"/>
    <w:rsid w:val="41A05B22"/>
    <w:rsid w:val="41B25C9F"/>
    <w:rsid w:val="41B8730F"/>
    <w:rsid w:val="41F1637D"/>
    <w:rsid w:val="41FF4F3E"/>
    <w:rsid w:val="421D7172"/>
    <w:rsid w:val="42470693"/>
    <w:rsid w:val="424C5CAA"/>
    <w:rsid w:val="425A2175"/>
    <w:rsid w:val="42725710"/>
    <w:rsid w:val="42782EF0"/>
    <w:rsid w:val="42982C9D"/>
    <w:rsid w:val="429A4C67"/>
    <w:rsid w:val="42A31D6D"/>
    <w:rsid w:val="42D02437"/>
    <w:rsid w:val="42D40179"/>
    <w:rsid w:val="42E4724C"/>
    <w:rsid w:val="42EA174A"/>
    <w:rsid w:val="42F8373B"/>
    <w:rsid w:val="43036368"/>
    <w:rsid w:val="43212C92"/>
    <w:rsid w:val="432D1637"/>
    <w:rsid w:val="432D7889"/>
    <w:rsid w:val="43317379"/>
    <w:rsid w:val="43364990"/>
    <w:rsid w:val="434A043B"/>
    <w:rsid w:val="4356271B"/>
    <w:rsid w:val="437B05F4"/>
    <w:rsid w:val="43AB31C0"/>
    <w:rsid w:val="43FB7987"/>
    <w:rsid w:val="440A7BCA"/>
    <w:rsid w:val="4456696C"/>
    <w:rsid w:val="44703ED1"/>
    <w:rsid w:val="4473751E"/>
    <w:rsid w:val="448B2AB9"/>
    <w:rsid w:val="448E6105"/>
    <w:rsid w:val="44CD4E80"/>
    <w:rsid w:val="44CE0BF8"/>
    <w:rsid w:val="44D3620E"/>
    <w:rsid w:val="44D37FBC"/>
    <w:rsid w:val="44E421C9"/>
    <w:rsid w:val="44F00B6E"/>
    <w:rsid w:val="45576E3F"/>
    <w:rsid w:val="456926CF"/>
    <w:rsid w:val="456B28EB"/>
    <w:rsid w:val="45795008"/>
    <w:rsid w:val="45CD7101"/>
    <w:rsid w:val="45DC10F2"/>
    <w:rsid w:val="45E00BE3"/>
    <w:rsid w:val="45E16709"/>
    <w:rsid w:val="45E76415"/>
    <w:rsid w:val="45FB3C6E"/>
    <w:rsid w:val="46256F3D"/>
    <w:rsid w:val="46647A66"/>
    <w:rsid w:val="4678706D"/>
    <w:rsid w:val="46A14816"/>
    <w:rsid w:val="46A63BDA"/>
    <w:rsid w:val="46AC6D17"/>
    <w:rsid w:val="46FF32EA"/>
    <w:rsid w:val="47040901"/>
    <w:rsid w:val="475C073D"/>
    <w:rsid w:val="47767A51"/>
    <w:rsid w:val="478A34FC"/>
    <w:rsid w:val="47BB7C3E"/>
    <w:rsid w:val="47F170D7"/>
    <w:rsid w:val="47FC782A"/>
    <w:rsid w:val="480A1F47"/>
    <w:rsid w:val="481E59F2"/>
    <w:rsid w:val="48343468"/>
    <w:rsid w:val="4851401A"/>
    <w:rsid w:val="48515DC8"/>
    <w:rsid w:val="48537D92"/>
    <w:rsid w:val="4867383D"/>
    <w:rsid w:val="488B752C"/>
    <w:rsid w:val="48DD58AD"/>
    <w:rsid w:val="48DF2094"/>
    <w:rsid w:val="491A265E"/>
    <w:rsid w:val="49290AF3"/>
    <w:rsid w:val="493F3E72"/>
    <w:rsid w:val="495F2766"/>
    <w:rsid w:val="49902920"/>
    <w:rsid w:val="49B02FC2"/>
    <w:rsid w:val="49C425C9"/>
    <w:rsid w:val="49E35145"/>
    <w:rsid w:val="4A0A0924"/>
    <w:rsid w:val="4A0A4480"/>
    <w:rsid w:val="4A0F1A96"/>
    <w:rsid w:val="4A1E1CDA"/>
    <w:rsid w:val="4A394D65"/>
    <w:rsid w:val="4A4060F4"/>
    <w:rsid w:val="4A45195C"/>
    <w:rsid w:val="4A4C4A99"/>
    <w:rsid w:val="4A4E6A63"/>
    <w:rsid w:val="4A6A3171"/>
    <w:rsid w:val="4A745D9D"/>
    <w:rsid w:val="4A8204BA"/>
    <w:rsid w:val="4A946440"/>
    <w:rsid w:val="4AAE5753"/>
    <w:rsid w:val="4ABA5EA6"/>
    <w:rsid w:val="4B166E55"/>
    <w:rsid w:val="4B1C090F"/>
    <w:rsid w:val="4B5C0D0B"/>
    <w:rsid w:val="4B5D4A84"/>
    <w:rsid w:val="4B9761E7"/>
    <w:rsid w:val="4B9C37FE"/>
    <w:rsid w:val="4B9E23D3"/>
    <w:rsid w:val="4B9E7576"/>
    <w:rsid w:val="4BA601D9"/>
    <w:rsid w:val="4BDE5BC4"/>
    <w:rsid w:val="4BE11211"/>
    <w:rsid w:val="4BE807F1"/>
    <w:rsid w:val="4BEF1B80"/>
    <w:rsid w:val="4BFC429C"/>
    <w:rsid w:val="4C003D8D"/>
    <w:rsid w:val="4C043151"/>
    <w:rsid w:val="4C215AB1"/>
    <w:rsid w:val="4C231829"/>
    <w:rsid w:val="4C2F4672"/>
    <w:rsid w:val="4C527C04"/>
    <w:rsid w:val="4C7958ED"/>
    <w:rsid w:val="4C7B1665"/>
    <w:rsid w:val="4C940979"/>
    <w:rsid w:val="4C9A2359"/>
    <w:rsid w:val="4CFB27A6"/>
    <w:rsid w:val="4D3637DE"/>
    <w:rsid w:val="4D534390"/>
    <w:rsid w:val="4D663ABA"/>
    <w:rsid w:val="4D8E53C8"/>
    <w:rsid w:val="4D9D385D"/>
    <w:rsid w:val="4DD728CB"/>
    <w:rsid w:val="4DD92AE7"/>
    <w:rsid w:val="4E035DB6"/>
    <w:rsid w:val="4E0538DC"/>
    <w:rsid w:val="4E0B6A19"/>
    <w:rsid w:val="4E1E499E"/>
    <w:rsid w:val="4E2E44B5"/>
    <w:rsid w:val="4E2F2707"/>
    <w:rsid w:val="4E453CD9"/>
    <w:rsid w:val="4E516B22"/>
    <w:rsid w:val="4E74636C"/>
    <w:rsid w:val="4E7C606C"/>
    <w:rsid w:val="4E834801"/>
    <w:rsid w:val="4E8C7B5A"/>
    <w:rsid w:val="4EC217CD"/>
    <w:rsid w:val="4ED17C62"/>
    <w:rsid w:val="4EDD6607"/>
    <w:rsid w:val="4EDD7253"/>
    <w:rsid w:val="4EEF00E8"/>
    <w:rsid w:val="4F560168"/>
    <w:rsid w:val="4F697E9B"/>
    <w:rsid w:val="4F6C34E7"/>
    <w:rsid w:val="4F8C3B89"/>
    <w:rsid w:val="4FBF7ABB"/>
    <w:rsid w:val="4FD25A40"/>
    <w:rsid w:val="4FEC63D6"/>
    <w:rsid w:val="4FED4628"/>
    <w:rsid w:val="4FF0236A"/>
    <w:rsid w:val="4FFF6109"/>
    <w:rsid w:val="50574197"/>
    <w:rsid w:val="509B0528"/>
    <w:rsid w:val="509C604E"/>
    <w:rsid w:val="50A849F3"/>
    <w:rsid w:val="50D15CF8"/>
    <w:rsid w:val="50E023DF"/>
    <w:rsid w:val="50F1639A"/>
    <w:rsid w:val="50F47C38"/>
    <w:rsid w:val="50FF7B58"/>
    <w:rsid w:val="510A745C"/>
    <w:rsid w:val="51257DF2"/>
    <w:rsid w:val="51361FFF"/>
    <w:rsid w:val="51532BB1"/>
    <w:rsid w:val="51705511"/>
    <w:rsid w:val="51764AF1"/>
    <w:rsid w:val="51826FF2"/>
    <w:rsid w:val="518A5EA7"/>
    <w:rsid w:val="51962A9D"/>
    <w:rsid w:val="519A433C"/>
    <w:rsid w:val="519C4558"/>
    <w:rsid w:val="51B573C7"/>
    <w:rsid w:val="51DF61F2"/>
    <w:rsid w:val="51E23F34"/>
    <w:rsid w:val="51E27A91"/>
    <w:rsid w:val="520E0886"/>
    <w:rsid w:val="52205CFA"/>
    <w:rsid w:val="52374280"/>
    <w:rsid w:val="523F4EE3"/>
    <w:rsid w:val="52522E68"/>
    <w:rsid w:val="52727066"/>
    <w:rsid w:val="52923265"/>
    <w:rsid w:val="52B551A5"/>
    <w:rsid w:val="52BC6534"/>
    <w:rsid w:val="52C378C2"/>
    <w:rsid w:val="52E37F64"/>
    <w:rsid w:val="52EF6909"/>
    <w:rsid w:val="53230361"/>
    <w:rsid w:val="5334431C"/>
    <w:rsid w:val="5373753A"/>
    <w:rsid w:val="53746E0E"/>
    <w:rsid w:val="537B1F4B"/>
    <w:rsid w:val="5391176E"/>
    <w:rsid w:val="539D6365"/>
    <w:rsid w:val="53A07C03"/>
    <w:rsid w:val="53BF452D"/>
    <w:rsid w:val="53C71634"/>
    <w:rsid w:val="53FD5056"/>
    <w:rsid w:val="54014B46"/>
    <w:rsid w:val="54117926"/>
    <w:rsid w:val="541E4DB2"/>
    <w:rsid w:val="545729C5"/>
    <w:rsid w:val="549F610D"/>
    <w:rsid w:val="54A159E1"/>
    <w:rsid w:val="54A35BFD"/>
    <w:rsid w:val="54AF45A2"/>
    <w:rsid w:val="54C33BA9"/>
    <w:rsid w:val="54DA0EF3"/>
    <w:rsid w:val="55061CE8"/>
    <w:rsid w:val="55286102"/>
    <w:rsid w:val="553700F3"/>
    <w:rsid w:val="553E5926"/>
    <w:rsid w:val="556D1D67"/>
    <w:rsid w:val="55713605"/>
    <w:rsid w:val="55823A64"/>
    <w:rsid w:val="55943798"/>
    <w:rsid w:val="559F4616"/>
    <w:rsid w:val="55D83684"/>
    <w:rsid w:val="55DD2E59"/>
    <w:rsid w:val="55E93AE3"/>
    <w:rsid w:val="55F14746"/>
    <w:rsid w:val="561004C3"/>
    <w:rsid w:val="56260894"/>
    <w:rsid w:val="565F7902"/>
    <w:rsid w:val="567315FF"/>
    <w:rsid w:val="56867584"/>
    <w:rsid w:val="56A93273"/>
    <w:rsid w:val="56A95021"/>
    <w:rsid w:val="56C8194B"/>
    <w:rsid w:val="56C854A7"/>
    <w:rsid w:val="56CD6F61"/>
    <w:rsid w:val="56D025AE"/>
    <w:rsid w:val="56E85B49"/>
    <w:rsid w:val="57511940"/>
    <w:rsid w:val="577613A7"/>
    <w:rsid w:val="57877110"/>
    <w:rsid w:val="579730CB"/>
    <w:rsid w:val="57B95737"/>
    <w:rsid w:val="57CA34A1"/>
    <w:rsid w:val="57CF0AB7"/>
    <w:rsid w:val="57E52089"/>
    <w:rsid w:val="57EA769F"/>
    <w:rsid w:val="57F329F7"/>
    <w:rsid w:val="5813309A"/>
    <w:rsid w:val="582901C7"/>
    <w:rsid w:val="58353010"/>
    <w:rsid w:val="584C2108"/>
    <w:rsid w:val="585039A6"/>
    <w:rsid w:val="58773629"/>
    <w:rsid w:val="58800458"/>
    <w:rsid w:val="588673C8"/>
    <w:rsid w:val="589C4E3D"/>
    <w:rsid w:val="58B33F35"/>
    <w:rsid w:val="58BE3005"/>
    <w:rsid w:val="593E7CA2"/>
    <w:rsid w:val="594D4389"/>
    <w:rsid w:val="59576FB6"/>
    <w:rsid w:val="595B4CF8"/>
    <w:rsid w:val="597436C4"/>
    <w:rsid w:val="598D4786"/>
    <w:rsid w:val="59CC1752"/>
    <w:rsid w:val="59D2663D"/>
    <w:rsid w:val="59F4122B"/>
    <w:rsid w:val="5A010C64"/>
    <w:rsid w:val="5A3C6BCC"/>
    <w:rsid w:val="5A93401E"/>
    <w:rsid w:val="5AAB1367"/>
    <w:rsid w:val="5AAB75B9"/>
    <w:rsid w:val="5AB346C0"/>
    <w:rsid w:val="5ABD553F"/>
    <w:rsid w:val="5ABF12B7"/>
    <w:rsid w:val="5AC42429"/>
    <w:rsid w:val="5ACB37B8"/>
    <w:rsid w:val="5AE14D89"/>
    <w:rsid w:val="5B0942E0"/>
    <w:rsid w:val="5B127639"/>
    <w:rsid w:val="5B1A473F"/>
    <w:rsid w:val="5B305D11"/>
    <w:rsid w:val="5B445318"/>
    <w:rsid w:val="5B4D0671"/>
    <w:rsid w:val="5B6065F6"/>
    <w:rsid w:val="5B834092"/>
    <w:rsid w:val="5B885B4D"/>
    <w:rsid w:val="5BA256EF"/>
    <w:rsid w:val="5BCA7F13"/>
    <w:rsid w:val="5BCF552A"/>
    <w:rsid w:val="5C133668"/>
    <w:rsid w:val="5C2F7D76"/>
    <w:rsid w:val="5C4F21C6"/>
    <w:rsid w:val="5C78121F"/>
    <w:rsid w:val="5C846314"/>
    <w:rsid w:val="5CAC13C7"/>
    <w:rsid w:val="5CCD2664"/>
    <w:rsid w:val="5D2B49E2"/>
    <w:rsid w:val="5D327B1E"/>
    <w:rsid w:val="5D355860"/>
    <w:rsid w:val="5D3C6BEF"/>
    <w:rsid w:val="5D6B74D4"/>
    <w:rsid w:val="5D8F31C2"/>
    <w:rsid w:val="5DAA3B58"/>
    <w:rsid w:val="5DEF1EB3"/>
    <w:rsid w:val="5DF71FD8"/>
    <w:rsid w:val="5DFE5C52"/>
    <w:rsid w:val="5E03770C"/>
    <w:rsid w:val="5E59557E"/>
    <w:rsid w:val="5E6F6B50"/>
    <w:rsid w:val="5EAB402C"/>
    <w:rsid w:val="5EAE1426"/>
    <w:rsid w:val="5EB50A07"/>
    <w:rsid w:val="5EC245FA"/>
    <w:rsid w:val="5EDA046D"/>
    <w:rsid w:val="5EEA61D6"/>
    <w:rsid w:val="5EF13A09"/>
    <w:rsid w:val="5F083FC2"/>
    <w:rsid w:val="5F322057"/>
    <w:rsid w:val="5F3A53B0"/>
    <w:rsid w:val="5F4678B1"/>
    <w:rsid w:val="5F530220"/>
    <w:rsid w:val="5F610B8F"/>
    <w:rsid w:val="5F677827"/>
    <w:rsid w:val="5F6B7317"/>
    <w:rsid w:val="5F6D308F"/>
    <w:rsid w:val="5F742670"/>
    <w:rsid w:val="5F88611B"/>
    <w:rsid w:val="5FAB005C"/>
    <w:rsid w:val="5FC86518"/>
    <w:rsid w:val="5FCB425A"/>
    <w:rsid w:val="5FFE018B"/>
    <w:rsid w:val="600F05EB"/>
    <w:rsid w:val="603A003B"/>
    <w:rsid w:val="60563B24"/>
    <w:rsid w:val="6062071A"/>
    <w:rsid w:val="60765F74"/>
    <w:rsid w:val="60854409"/>
    <w:rsid w:val="60870181"/>
    <w:rsid w:val="608A1A1F"/>
    <w:rsid w:val="60936B26"/>
    <w:rsid w:val="60966616"/>
    <w:rsid w:val="60C969EB"/>
    <w:rsid w:val="60CA62C0"/>
    <w:rsid w:val="60FD48E7"/>
    <w:rsid w:val="610F39FE"/>
    <w:rsid w:val="61371BD1"/>
    <w:rsid w:val="6142054C"/>
    <w:rsid w:val="615D7134"/>
    <w:rsid w:val="618172C6"/>
    <w:rsid w:val="618741B1"/>
    <w:rsid w:val="61A94127"/>
    <w:rsid w:val="61C251E9"/>
    <w:rsid w:val="61C6117D"/>
    <w:rsid w:val="61D373F6"/>
    <w:rsid w:val="61D513C0"/>
    <w:rsid w:val="61DC274E"/>
    <w:rsid w:val="61E52B68"/>
    <w:rsid w:val="61F96E5C"/>
    <w:rsid w:val="6256605D"/>
    <w:rsid w:val="625E13B5"/>
    <w:rsid w:val="6263077A"/>
    <w:rsid w:val="62662018"/>
    <w:rsid w:val="62AC5964"/>
    <w:rsid w:val="62AE5E99"/>
    <w:rsid w:val="62B66AFB"/>
    <w:rsid w:val="62C90F25"/>
    <w:rsid w:val="62F53AC8"/>
    <w:rsid w:val="634B193A"/>
    <w:rsid w:val="635527B8"/>
    <w:rsid w:val="635A392B"/>
    <w:rsid w:val="635D166D"/>
    <w:rsid w:val="63666773"/>
    <w:rsid w:val="63676048"/>
    <w:rsid w:val="638C3D00"/>
    <w:rsid w:val="63CD05A1"/>
    <w:rsid w:val="63D74F7B"/>
    <w:rsid w:val="63F35B2D"/>
    <w:rsid w:val="64055F8C"/>
    <w:rsid w:val="64195594"/>
    <w:rsid w:val="642301C1"/>
    <w:rsid w:val="642F3009"/>
    <w:rsid w:val="64430863"/>
    <w:rsid w:val="64852C29"/>
    <w:rsid w:val="648C045C"/>
    <w:rsid w:val="648D1ADE"/>
    <w:rsid w:val="648F1CFA"/>
    <w:rsid w:val="64B928D3"/>
    <w:rsid w:val="64DF4A2F"/>
    <w:rsid w:val="64EF09EB"/>
    <w:rsid w:val="6522491C"/>
    <w:rsid w:val="65271F32"/>
    <w:rsid w:val="653463FD"/>
    <w:rsid w:val="655F4C8C"/>
    <w:rsid w:val="657F58CB"/>
    <w:rsid w:val="65870C23"/>
    <w:rsid w:val="65982E30"/>
    <w:rsid w:val="65A672FB"/>
    <w:rsid w:val="65AB4911"/>
    <w:rsid w:val="65C6174B"/>
    <w:rsid w:val="65CE6852"/>
    <w:rsid w:val="65D832A5"/>
    <w:rsid w:val="65F04A1A"/>
    <w:rsid w:val="66524D8D"/>
    <w:rsid w:val="66644AC0"/>
    <w:rsid w:val="66664CDC"/>
    <w:rsid w:val="666845B1"/>
    <w:rsid w:val="66754F1F"/>
    <w:rsid w:val="66763171"/>
    <w:rsid w:val="66911D59"/>
    <w:rsid w:val="6694184A"/>
    <w:rsid w:val="6695111E"/>
    <w:rsid w:val="66952ECC"/>
    <w:rsid w:val="66A001EE"/>
    <w:rsid w:val="66BB6DD6"/>
    <w:rsid w:val="66C57C55"/>
    <w:rsid w:val="66C814F3"/>
    <w:rsid w:val="66CF63DE"/>
    <w:rsid w:val="671D539B"/>
    <w:rsid w:val="674212A6"/>
    <w:rsid w:val="674943E2"/>
    <w:rsid w:val="674A015A"/>
    <w:rsid w:val="6764746E"/>
    <w:rsid w:val="67780823"/>
    <w:rsid w:val="6787315C"/>
    <w:rsid w:val="67955879"/>
    <w:rsid w:val="67B83316"/>
    <w:rsid w:val="67FC1454"/>
    <w:rsid w:val="680D3662"/>
    <w:rsid w:val="6828049B"/>
    <w:rsid w:val="682E182A"/>
    <w:rsid w:val="684E77D6"/>
    <w:rsid w:val="688E4077"/>
    <w:rsid w:val="6897006B"/>
    <w:rsid w:val="68B166E3"/>
    <w:rsid w:val="68BC6E36"/>
    <w:rsid w:val="68C77CB4"/>
    <w:rsid w:val="68DA2E29"/>
    <w:rsid w:val="68F91E38"/>
    <w:rsid w:val="690802CD"/>
    <w:rsid w:val="69272501"/>
    <w:rsid w:val="69531548"/>
    <w:rsid w:val="698E07D2"/>
    <w:rsid w:val="69A91168"/>
    <w:rsid w:val="69B83AA1"/>
    <w:rsid w:val="69BC3A21"/>
    <w:rsid w:val="69FC4A86"/>
    <w:rsid w:val="6A276531"/>
    <w:rsid w:val="6A58493C"/>
    <w:rsid w:val="6A7379C8"/>
    <w:rsid w:val="6A7A0D56"/>
    <w:rsid w:val="6A7A48B2"/>
    <w:rsid w:val="6A890F99"/>
    <w:rsid w:val="6A927E4E"/>
    <w:rsid w:val="6AA638F9"/>
    <w:rsid w:val="6ACD532A"/>
    <w:rsid w:val="6AE663EC"/>
    <w:rsid w:val="6AEC1C54"/>
    <w:rsid w:val="6AEF34F2"/>
    <w:rsid w:val="6AFD615F"/>
    <w:rsid w:val="6B013226"/>
    <w:rsid w:val="6B146AB5"/>
    <w:rsid w:val="6B2D5DC9"/>
    <w:rsid w:val="6B2F1B41"/>
    <w:rsid w:val="6B4849B1"/>
    <w:rsid w:val="6B4F3F91"/>
    <w:rsid w:val="6B6317EA"/>
    <w:rsid w:val="6B9D6AAA"/>
    <w:rsid w:val="6BA42449"/>
    <w:rsid w:val="6BA918F3"/>
    <w:rsid w:val="6BB87D88"/>
    <w:rsid w:val="6BE02E3B"/>
    <w:rsid w:val="6BFB7C75"/>
    <w:rsid w:val="6C156F89"/>
    <w:rsid w:val="6C1D5E3D"/>
    <w:rsid w:val="6C223454"/>
    <w:rsid w:val="6C240F7A"/>
    <w:rsid w:val="6C3118E9"/>
    <w:rsid w:val="6C3867D3"/>
    <w:rsid w:val="6C4E4249"/>
    <w:rsid w:val="6C5A0E3F"/>
    <w:rsid w:val="6C6D54C0"/>
    <w:rsid w:val="6C702411"/>
    <w:rsid w:val="6C726189"/>
    <w:rsid w:val="6C9A748E"/>
    <w:rsid w:val="6CA81BAB"/>
    <w:rsid w:val="6CB30550"/>
    <w:rsid w:val="6CC04E53"/>
    <w:rsid w:val="6CEA21C3"/>
    <w:rsid w:val="6D667370"/>
    <w:rsid w:val="6D780CD8"/>
    <w:rsid w:val="6D793547"/>
    <w:rsid w:val="6D8A5754"/>
    <w:rsid w:val="6D9739CD"/>
    <w:rsid w:val="6DA32372"/>
    <w:rsid w:val="6DB85E1E"/>
    <w:rsid w:val="6DD10C8D"/>
    <w:rsid w:val="6DF57072"/>
    <w:rsid w:val="6DFB5D0A"/>
    <w:rsid w:val="6E056B89"/>
    <w:rsid w:val="6E2E7E8E"/>
    <w:rsid w:val="6E4E6782"/>
    <w:rsid w:val="6E58315D"/>
    <w:rsid w:val="6E930639"/>
    <w:rsid w:val="6EA168B2"/>
    <w:rsid w:val="6EB011EB"/>
    <w:rsid w:val="6EC66318"/>
    <w:rsid w:val="6EEB5D7F"/>
    <w:rsid w:val="6EEF1D13"/>
    <w:rsid w:val="6EF72976"/>
    <w:rsid w:val="6F814935"/>
    <w:rsid w:val="6F834209"/>
    <w:rsid w:val="6F9C52CB"/>
    <w:rsid w:val="6FA80114"/>
    <w:rsid w:val="6FC0720B"/>
    <w:rsid w:val="6FDC1B6B"/>
    <w:rsid w:val="703A5210"/>
    <w:rsid w:val="706933FF"/>
    <w:rsid w:val="70B55BAC"/>
    <w:rsid w:val="70BF5715"/>
    <w:rsid w:val="70E94540"/>
    <w:rsid w:val="70F80C27"/>
    <w:rsid w:val="710475CC"/>
    <w:rsid w:val="711710AD"/>
    <w:rsid w:val="714B6FA9"/>
    <w:rsid w:val="71816E6E"/>
    <w:rsid w:val="718B55F7"/>
    <w:rsid w:val="71900E5F"/>
    <w:rsid w:val="71970440"/>
    <w:rsid w:val="71A36DE5"/>
    <w:rsid w:val="71BB412E"/>
    <w:rsid w:val="71C72AD3"/>
    <w:rsid w:val="71D60F68"/>
    <w:rsid w:val="71EF5B86"/>
    <w:rsid w:val="720E0702"/>
    <w:rsid w:val="721F2629"/>
    <w:rsid w:val="72367C59"/>
    <w:rsid w:val="724063E2"/>
    <w:rsid w:val="724E6D50"/>
    <w:rsid w:val="726A345E"/>
    <w:rsid w:val="727E6F0A"/>
    <w:rsid w:val="72822E9E"/>
    <w:rsid w:val="728269FA"/>
    <w:rsid w:val="728E35F1"/>
    <w:rsid w:val="72C60FDD"/>
    <w:rsid w:val="72FC67AC"/>
    <w:rsid w:val="7306762B"/>
    <w:rsid w:val="730C2768"/>
    <w:rsid w:val="730D09BA"/>
    <w:rsid w:val="730E028E"/>
    <w:rsid w:val="731955B0"/>
    <w:rsid w:val="7352461E"/>
    <w:rsid w:val="735A34D3"/>
    <w:rsid w:val="73816CB2"/>
    <w:rsid w:val="738D5656"/>
    <w:rsid w:val="73B13A3B"/>
    <w:rsid w:val="73B61051"/>
    <w:rsid w:val="73D2575F"/>
    <w:rsid w:val="741B5358"/>
    <w:rsid w:val="74281823"/>
    <w:rsid w:val="74463A57"/>
    <w:rsid w:val="74681C20"/>
    <w:rsid w:val="74784559"/>
    <w:rsid w:val="74850A24"/>
    <w:rsid w:val="7499002B"/>
    <w:rsid w:val="74A964C0"/>
    <w:rsid w:val="74D84FF7"/>
    <w:rsid w:val="74F55BA9"/>
    <w:rsid w:val="751678CE"/>
    <w:rsid w:val="7544268D"/>
    <w:rsid w:val="756B19C7"/>
    <w:rsid w:val="756E770A"/>
    <w:rsid w:val="75834E7E"/>
    <w:rsid w:val="75B0387E"/>
    <w:rsid w:val="75B55338"/>
    <w:rsid w:val="75C5557C"/>
    <w:rsid w:val="75C612F4"/>
    <w:rsid w:val="75D752AF"/>
    <w:rsid w:val="75DC4673"/>
    <w:rsid w:val="75E1612D"/>
    <w:rsid w:val="76053BCA"/>
    <w:rsid w:val="76206C56"/>
    <w:rsid w:val="764A782F"/>
    <w:rsid w:val="764F3097"/>
    <w:rsid w:val="766052A4"/>
    <w:rsid w:val="7661305E"/>
    <w:rsid w:val="76766876"/>
    <w:rsid w:val="767B3E8C"/>
    <w:rsid w:val="76EE0B02"/>
    <w:rsid w:val="76F123A0"/>
    <w:rsid w:val="77020109"/>
    <w:rsid w:val="77073972"/>
    <w:rsid w:val="77170059"/>
    <w:rsid w:val="771816DB"/>
    <w:rsid w:val="772C33D8"/>
    <w:rsid w:val="77811976"/>
    <w:rsid w:val="77950F7E"/>
    <w:rsid w:val="779D14C4"/>
    <w:rsid w:val="77A13DC6"/>
    <w:rsid w:val="77E55286"/>
    <w:rsid w:val="781B5927"/>
    <w:rsid w:val="781E783D"/>
    <w:rsid w:val="784C1F84"/>
    <w:rsid w:val="784F737E"/>
    <w:rsid w:val="78650950"/>
    <w:rsid w:val="786A240A"/>
    <w:rsid w:val="786F7A21"/>
    <w:rsid w:val="787943FB"/>
    <w:rsid w:val="78AD0549"/>
    <w:rsid w:val="78C57641"/>
    <w:rsid w:val="78EF290F"/>
    <w:rsid w:val="79167E9C"/>
    <w:rsid w:val="79246A5D"/>
    <w:rsid w:val="793622EC"/>
    <w:rsid w:val="795F7A95"/>
    <w:rsid w:val="79A951B4"/>
    <w:rsid w:val="79AE4579"/>
    <w:rsid w:val="79C618C2"/>
    <w:rsid w:val="79E65AC0"/>
    <w:rsid w:val="79EE0E19"/>
    <w:rsid w:val="79F521A7"/>
    <w:rsid w:val="7A15284A"/>
    <w:rsid w:val="7A232871"/>
    <w:rsid w:val="7A603AC5"/>
    <w:rsid w:val="7A652E89"/>
    <w:rsid w:val="7A8A28F0"/>
    <w:rsid w:val="7AA5597C"/>
    <w:rsid w:val="7ACF47A6"/>
    <w:rsid w:val="7AD4000F"/>
    <w:rsid w:val="7AD95625"/>
    <w:rsid w:val="7AE55D78"/>
    <w:rsid w:val="7B1D3764"/>
    <w:rsid w:val="7B3867F0"/>
    <w:rsid w:val="7B3F192C"/>
    <w:rsid w:val="7B4E7DC1"/>
    <w:rsid w:val="7B560A24"/>
    <w:rsid w:val="7B6273C9"/>
    <w:rsid w:val="7B670E83"/>
    <w:rsid w:val="7B6E2211"/>
    <w:rsid w:val="7B8C6B3B"/>
    <w:rsid w:val="7B953362"/>
    <w:rsid w:val="7B9652C4"/>
    <w:rsid w:val="7BA7127F"/>
    <w:rsid w:val="7BC6204D"/>
    <w:rsid w:val="7C2154D6"/>
    <w:rsid w:val="7C3A6597"/>
    <w:rsid w:val="7C5A2796"/>
    <w:rsid w:val="7C684EB3"/>
    <w:rsid w:val="7CD24A22"/>
    <w:rsid w:val="7CFE1373"/>
    <w:rsid w:val="7D006E99"/>
    <w:rsid w:val="7D1110A6"/>
    <w:rsid w:val="7D4C6582"/>
    <w:rsid w:val="7D5471E5"/>
    <w:rsid w:val="7D5F62B6"/>
    <w:rsid w:val="7D6733BC"/>
    <w:rsid w:val="7D742A66"/>
    <w:rsid w:val="7D7F0706"/>
    <w:rsid w:val="7D821FA4"/>
    <w:rsid w:val="7D8F646F"/>
    <w:rsid w:val="7DC73E5B"/>
    <w:rsid w:val="7DCD3ABD"/>
    <w:rsid w:val="7DD24CD9"/>
    <w:rsid w:val="7DE14F1D"/>
    <w:rsid w:val="7DED1B13"/>
    <w:rsid w:val="7E074257"/>
    <w:rsid w:val="7E192908"/>
    <w:rsid w:val="7E2C3CBE"/>
    <w:rsid w:val="7E370FE0"/>
    <w:rsid w:val="7E3E236F"/>
    <w:rsid w:val="7E5A082B"/>
    <w:rsid w:val="7E723DC7"/>
    <w:rsid w:val="7E8A7362"/>
    <w:rsid w:val="7E977CD1"/>
    <w:rsid w:val="7EB268B9"/>
    <w:rsid w:val="7EE747B5"/>
    <w:rsid w:val="7EFE565A"/>
    <w:rsid w:val="7F052E8D"/>
    <w:rsid w:val="7F637BB3"/>
    <w:rsid w:val="7F853FCE"/>
    <w:rsid w:val="7F9D30C5"/>
    <w:rsid w:val="7F9F6E3D"/>
    <w:rsid w:val="7FF07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2"/>
      <w:lang w:val="en-US" w:eastAsia="zh-CN" w:bidi="ar-SA"/>
    </w:rPr>
  </w:style>
  <w:style w:type="paragraph" w:styleId="3">
    <w:name w:val="heading 1"/>
    <w:basedOn w:val="1"/>
    <w:next w:val="1"/>
    <w:link w:val="2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4">
    <w:name w:val="heading 4"/>
    <w:basedOn w:val="1"/>
    <w:next w:val="1"/>
    <w:link w:val="21"/>
    <w:qFormat/>
    <w:uiPriority w:val="9"/>
    <w:pPr>
      <w:widowControl/>
      <w:spacing w:before="100" w:beforeAutospacing="1" w:after="100" w:afterAutospacing="1"/>
      <w:jc w:val="left"/>
      <w:outlineLvl w:val="3"/>
    </w:pPr>
    <w:rPr>
      <w:rFonts w:ascii="宋体" w:hAnsi="宋体" w:eastAsia="宋体" w:cs="宋体"/>
      <w:b/>
      <w:bCs/>
      <w:kern w:val="0"/>
      <w:sz w:val="24"/>
      <w:szCs w:val="24"/>
    </w:rPr>
  </w:style>
  <w:style w:type="paragraph" w:styleId="5">
    <w:name w:val="heading 5"/>
    <w:basedOn w:val="1"/>
    <w:next w:val="1"/>
    <w:link w:val="22"/>
    <w:qFormat/>
    <w:uiPriority w:val="9"/>
    <w:pPr>
      <w:widowControl/>
      <w:spacing w:before="100" w:beforeAutospacing="1" w:after="100" w:afterAutospacing="1"/>
      <w:jc w:val="left"/>
      <w:outlineLvl w:val="4"/>
    </w:pPr>
    <w:rPr>
      <w:rFonts w:ascii="宋体" w:hAnsi="宋体" w:eastAsia="宋体" w:cs="宋体"/>
      <w:b/>
      <w:bCs/>
      <w:kern w:val="0"/>
      <w:sz w:val="20"/>
      <w:szCs w:val="20"/>
    </w:rPr>
  </w:style>
  <w:style w:type="character" w:default="1" w:styleId="16">
    <w:name w:val="Default Paragraph Font"/>
    <w:link w:val="17"/>
    <w:qFormat/>
    <w:uiPriority w:val="1"/>
    <w:rPr>
      <w:rFonts w:ascii="仿宋_GB2312" w:eastAsia="仿宋_GB2312"/>
      <w:b/>
      <w:sz w:val="32"/>
      <w:szCs w:val="32"/>
    </w:rPr>
  </w:style>
  <w:style w:type="table" w:default="1" w:styleId="15">
    <w:name w:val="Normal Table"/>
    <w:autoRedefine/>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6">
    <w:name w:val="Normal Indent"/>
    <w:basedOn w:val="1"/>
    <w:next w:val="1"/>
    <w:qFormat/>
    <w:uiPriority w:val="0"/>
    <w:pPr>
      <w:spacing w:line="460" w:lineRule="exact"/>
      <w:ind w:firstLine="560" w:firstLineChars="200"/>
      <w:jc w:val="left"/>
    </w:pPr>
    <w:rPr>
      <w:rFonts w:eastAsia="仿宋_GB2312"/>
      <w:sz w:val="28"/>
    </w:rPr>
  </w:style>
  <w:style w:type="paragraph" w:styleId="7">
    <w:name w:val="Body Text"/>
    <w:basedOn w:val="1"/>
    <w:qFormat/>
    <w:uiPriority w:val="0"/>
    <w:pPr>
      <w:spacing w:after="120"/>
    </w:pPr>
  </w:style>
  <w:style w:type="paragraph" w:styleId="8">
    <w:name w:val="Body Text Indent"/>
    <w:basedOn w:val="1"/>
    <w:next w:val="6"/>
    <w:autoRedefine/>
    <w:qFormat/>
    <w:uiPriority w:val="0"/>
    <w:pPr>
      <w:spacing w:after="120" w:afterLines="0"/>
      <w:ind w:left="420" w:leftChars="200"/>
    </w:pPr>
  </w:style>
  <w:style w:type="paragraph" w:styleId="9">
    <w:name w:val="HTML Address"/>
    <w:basedOn w:val="1"/>
    <w:autoRedefine/>
    <w:qFormat/>
    <w:uiPriority w:val="0"/>
    <w:rPr>
      <w:i/>
    </w:rPr>
  </w:style>
  <w:style w:type="paragraph" w:styleId="10">
    <w:name w:val="Balloon Text"/>
    <w:basedOn w:val="1"/>
    <w:link w:val="23"/>
    <w:autoRedefine/>
    <w:qFormat/>
    <w:uiPriority w:val="99"/>
    <w:rPr>
      <w:sz w:val="18"/>
      <w:szCs w:val="18"/>
    </w:rPr>
  </w:style>
  <w:style w:type="paragraph" w:styleId="11">
    <w:name w:val="footer"/>
    <w:basedOn w:val="1"/>
    <w:autoRedefine/>
    <w:qFormat/>
    <w:uiPriority w:val="99"/>
    <w:pPr>
      <w:tabs>
        <w:tab w:val="center" w:pos="4153"/>
        <w:tab w:val="right" w:pos="8306"/>
      </w:tabs>
      <w:snapToGrid w:val="0"/>
      <w:jc w:val="left"/>
    </w:pPr>
    <w:rPr>
      <w:sz w:val="18"/>
    </w:rPr>
  </w:style>
  <w:style w:type="paragraph" w:styleId="12">
    <w:name w:val="header"/>
    <w:basedOn w:val="1"/>
    <w:next w:val="9"/>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autoRedefine/>
    <w:qFormat/>
    <w:uiPriority w:val="99"/>
    <w:pPr>
      <w:widowControl/>
      <w:spacing w:before="100" w:beforeAutospacing="1" w:after="100" w:afterAutospacing="1"/>
      <w:jc w:val="left"/>
    </w:pPr>
    <w:rPr>
      <w:rFonts w:ascii="宋体" w:hAnsi="宋体" w:eastAsia="宋体" w:cs="宋体"/>
      <w:kern w:val="0"/>
      <w:sz w:val="24"/>
      <w:szCs w:val="24"/>
    </w:rPr>
  </w:style>
  <w:style w:type="paragraph" w:styleId="14">
    <w:name w:val="Body Text First Indent"/>
    <w:next w:val="1"/>
    <w:autoRedefine/>
    <w:qFormat/>
    <w:uiPriority w:val="0"/>
    <w:pPr>
      <w:widowControl w:val="0"/>
      <w:spacing w:after="120"/>
      <w:ind w:firstLine="420" w:firstLineChars="100"/>
      <w:jc w:val="both"/>
    </w:pPr>
    <w:rPr>
      <w:rFonts w:ascii="Times New Roman" w:hAnsi="Times New Roman" w:eastAsia="宋体" w:cs="Times New Roman"/>
      <w:kern w:val="2"/>
      <w:sz w:val="24"/>
      <w:szCs w:val="24"/>
      <w:lang w:val="en-US" w:eastAsia="zh-CN" w:bidi="ar-SA"/>
    </w:rPr>
  </w:style>
  <w:style w:type="paragraph" w:customStyle="1" w:styleId="17">
    <w:name w:val=" Char"/>
    <w:basedOn w:val="1"/>
    <w:link w:val="16"/>
    <w:autoRedefine/>
    <w:qFormat/>
    <w:uiPriority w:val="0"/>
    <w:rPr>
      <w:rFonts w:ascii="仿宋_GB2312" w:eastAsia="仿宋_GB2312"/>
      <w:b/>
      <w:sz w:val="32"/>
      <w:szCs w:val="32"/>
    </w:rPr>
  </w:style>
  <w:style w:type="character" w:styleId="18">
    <w:name w:val="page number"/>
    <w:basedOn w:val="16"/>
    <w:qFormat/>
    <w:uiPriority w:val="0"/>
  </w:style>
  <w:style w:type="character" w:styleId="19">
    <w:name w:val="Hyperlink"/>
    <w:basedOn w:val="16"/>
    <w:autoRedefine/>
    <w:qFormat/>
    <w:uiPriority w:val="99"/>
    <w:rPr>
      <w:color w:val="0000FF"/>
      <w:u w:val="single"/>
    </w:rPr>
  </w:style>
  <w:style w:type="character" w:customStyle="1" w:styleId="20">
    <w:name w:val="标题 1 Char"/>
    <w:basedOn w:val="16"/>
    <w:link w:val="3"/>
    <w:qFormat/>
    <w:uiPriority w:val="9"/>
    <w:rPr>
      <w:rFonts w:ascii="宋体" w:hAnsi="宋体" w:eastAsia="宋体" w:cs="宋体"/>
      <w:bCs/>
      <w:kern w:val="36"/>
      <w:sz w:val="48"/>
      <w:szCs w:val="48"/>
    </w:rPr>
  </w:style>
  <w:style w:type="character" w:customStyle="1" w:styleId="21">
    <w:name w:val="标题 4 Char"/>
    <w:basedOn w:val="16"/>
    <w:link w:val="4"/>
    <w:qFormat/>
    <w:uiPriority w:val="9"/>
    <w:rPr>
      <w:rFonts w:ascii="宋体" w:hAnsi="宋体" w:eastAsia="宋体" w:cs="宋体"/>
      <w:bCs/>
      <w:kern w:val="0"/>
      <w:sz w:val="24"/>
      <w:szCs w:val="24"/>
    </w:rPr>
  </w:style>
  <w:style w:type="character" w:customStyle="1" w:styleId="22">
    <w:name w:val="标题 5 Char"/>
    <w:basedOn w:val="16"/>
    <w:link w:val="5"/>
    <w:qFormat/>
    <w:uiPriority w:val="9"/>
    <w:rPr>
      <w:rFonts w:ascii="宋体" w:hAnsi="宋体" w:eastAsia="宋体" w:cs="宋体"/>
      <w:bCs/>
      <w:kern w:val="0"/>
      <w:sz w:val="20"/>
      <w:szCs w:val="20"/>
    </w:rPr>
  </w:style>
  <w:style w:type="character" w:customStyle="1" w:styleId="23">
    <w:name w:val="批注框文本 Char"/>
    <w:basedOn w:val="16"/>
    <w:link w:val="10"/>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9242</Words>
  <Characters>9790</Characters>
  <Paragraphs>82</Paragraphs>
  <TotalTime>359</TotalTime>
  <ScaleCrop>false</ScaleCrop>
  <LinksUpToDate>false</LinksUpToDate>
  <CharactersWithSpaces>9829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2020-08-18T03:04:00Z</dcterms:created>
  <dc:creator>Administrator</dc:creator>
  <cp:lastModifiedBy>Administrator</cp:lastModifiedBy>
  <cp:lastPrinted>2024-12-25T00:56:00Z</cp:lastPrinted>
  <dcterms:modified xsi:type="dcterms:W3CDTF">2025-01-06T01:02:01Z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52E6FD56544145C18259B1896D6F7D6D_13</vt:lpwstr>
  </property>
  <property fmtid="{D5CDD505-2E9C-101B-9397-08002B2CF9AE}" pid="4" name="KSOTemplateDocerSaveRecord">
    <vt:lpwstr>eyJoZGlkIjoiYTIwNjE0YzNjYjkxMzllMzZiNzYwMGVhMzA5YTBlYjAifQ==</vt:lpwstr>
  </property>
</Properties>
</file>